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315" w:lineRule="atLeast"/>
        <w:jc w:val="center"/>
        <w:rPr>
          <w:rFonts w:ascii="宋体" w:hAnsi="宋体" w:cs="宋体"/>
          <w:color w:val="000000"/>
          <w:kern w:val="0"/>
          <w:szCs w:val="21"/>
        </w:rPr>
      </w:pPr>
      <w:r>
        <w:rPr>
          <w:rFonts w:hint="eastAsia" w:ascii="黑体" w:hAnsi="宋体" w:eastAsia="黑体" w:cs="宋体"/>
          <w:b/>
          <w:bCs/>
          <w:color w:val="000000"/>
          <w:kern w:val="0"/>
          <w:sz w:val="36"/>
          <w:szCs w:val="36"/>
        </w:rPr>
        <w:t>常州市</w:t>
      </w:r>
      <w:r>
        <w:rPr>
          <w:rFonts w:hint="eastAsia" w:ascii="黑体" w:hAnsi="宋体" w:eastAsia="黑体" w:cs="宋体"/>
          <w:b/>
          <w:bCs/>
          <w:color w:val="000000"/>
          <w:kern w:val="0"/>
          <w:sz w:val="36"/>
          <w:szCs w:val="36"/>
          <w:lang w:val="en-US" w:eastAsia="zh-CN"/>
        </w:rPr>
        <w:t>青龙实验</w:t>
      </w:r>
      <w:r>
        <w:rPr>
          <w:rFonts w:hint="eastAsia" w:ascii="黑体" w:hAnsi="宋体" w:eastAsia="黑体" w:cs="宋体"/>
          <w:b/>
          <w:bCs/>
          <w:color w:val="000000"/>
          <w:kern w:val="0"/>
          <w:sz w:val="36"/>
          <w:szCs w:val="36"/>
        </w:rPr>
        <w:t>小学20</w:t>
      </w:r>
      <w:r>
        <w:rPr>
          <w:rFonts w:ascii="黑体" w:hAnsi="宋体" w:eastAsia="黑体" w:cs="宋体"/>
          <w:b/>
          <w:bCs/>
          <w:color w:val="000000"/>
          <w:kern w:val="0"/>
          <w:sz w:val="36"/>
          <w:szCs w:val="36"/>
        </w:rPr>
        <w:t>2</w:t>
      </w:r>
      <w:r>
        <w:rPr>
          <w:rFonts w:hint="eastAsia" w:ascii="黑体" w:hAnsi="宋体" w:eastAsia="黑体" w:cs="宋体"/>
          <w:b/>
          <w:bCs/>
          <w:color w:val="000000"/>
          <w:kern w:val="0"/>
          <w:sz w:val="36"/>
          <w:szCs w:val="36"/>
          <w:lang w:val="en-US" w:eastAsia="zh-CN"/>
        </w:rPr>
        <w:t>3</w:t>
      </w:r>
      <w:r>
        <w:rPr>
          <w:rFonts w:hint="eastAsia" w:ascii="黑体" w:hAnsi="宋体" w:eastAsia="黑体" w:cs="宋体"/>
          <w:b/>
          <w:bCs/>
          <w:color w:val="000000"/>
          <w:kern w:val="0"/>
          <w:sz w:val="36"/>
          <w:szCs w:val="36"/>
        </w:rPr>
        <w:t>-202</w:t>
      </w:r>
      <w:r>
        <w:rPr>
          <w:rFonts w:hint="eastAsia" w:ascii="黑体" w:hAnsi="宋体" w:eastAsia="黑体" w:cs="宋体"/>
          <w:b/>
          <w:bCs/>
          <w:color w:val="000000"/>
          <w:kern w:val="0"/>
          <w:sz w:val="36"/>
          <w:szCs w:val="36"/>
          <w:lang w:val="en-US" w:eastAsia="zh-CN"/>
        </w:rPr>
        <w:t>4</w:t>
      </w:r>
      <w:r>
        <w:rPr>
          <w:rFonts w:hint="eastAsia" w:ascii="黑体" w:hAnsi="宋体" w:eastAsia="黑体" w:cs="宋体"/>
          <w:b/>
          <w:bCs/>
          <w:color w:val="000000"/>
          <w:kern w:val="0"/>
          <w:sz w:val="36"/>
          <w:szCs w:val="36"/>
        </w:rPr>
        <w:t>学年第</w:t>
      </w:r>
      <w:r>
        <w:rPr>
          <w:rFonts w:hint="eastAsia" w:ascii="黑体" w:hAnsi="宋体" w:eastAsia="黑体" w:cs="宋体"/>
          <w:b/>
          <w:bCs/>
          <w:color w:val="000000"/>
          <w:kern w:val="0"/>
          <w:sz w:val="36"/>
          <w:szCs w:val="36"/>
          <w:lang w:val="en-US" w:eastAsia="zh-CN"/>
        </w:rPr>
        <w:t>二</w:t>
      </w:r>
      <w:r>
        <w:rPr>
          <w:rFonts w:hint="eastAsia" w:ascii="黑体" w:hAnsi="宋体" w:eastAsia="黑体" w:cs="宋体"/>
          <w:b/>
          <w:bCs/>
          <w:color w:val="000000"/>
          <w:kern w:val="0"/>
          <w:sz w:val="36"/>
          <w:szCs w:val="36"/>
        </w:rPr>
        <w:t>学期</w:t>
      </w:r>
    </w:p>
    <w:p>
      <w:pPr>
        <w:widowControl/>
        <w:shd w:val="clear" w:color="auto" w:fill="FFFFFF"/>
        <w:spacing w:line="315" w:lineRule="atLeast"/>
        <w:jc w:val="center"/>
        <w:rPr>
          <w:rFonts w:hint="eastAsia" w:ascii="黑体" w:hAnsi="宋体" w:eastAsia="黑体" w:cs="宋体"/>
          <w:b/>
          <w:bCs/>
          <w:color w:val="000000"/>
          <w:kern w:val="0"/>
          <w:sz w:val="36"/>
          <w:szCs w:val="36"/>
        </w:rPr>
      </w:pPr>
      <w:r>
        <w:rPr>
          <w:rFonts w:hint="eastAsia" w:ascii="黑体" w:hAnsi="宋体" w:eastAsia="黑体" w:cs="宋体"/>
          <w:b/>
          <w:bCs/>
          <w:color w:val="000000"/>
          <w:kern w:val="0"/>
          <w:sz w:val="36"/>
          <w:szCs w:val="36"/>
        </w:rPr>
        <w:t>数学教研组工作计划</w:t>
      </w:r>
    </w:p>
    <w:p>
      <w:pPr>
        <w:spacing w:before="156" w:beforeLines="50" w:after="156" w:afterLines="50"/>
        <w:rPr>
          <w:rFonts w:hint="eastAsia" w:ascii="黑体" w:hAnsi="黑体" w:eastAsia="黑体"/>
          <w:b/>
          <w:sz w:val="30"/>
          <w:szCs w:val="30"/>
        </w:rPr>
      </w:pPr>
      <w:r>
        <w:rPr>
          <w:rFonts w:hint="eastAsia" w:ascii="黑体" w:hAnsi="黑体" w:eastAsia="黑体"/>
          <w:b/>
          <w:sz w:val="30"/>
          <w:szCs w:val="30"/>
        </w:rPr>
        <w:t>指导思想</w:t>
      </w:r>
    </w:p>
    <w:p>
      <w:pPr>
        <w:spacing w:line="360" w:lineRule="auto"/>
        <w:ind w:firstLine="420" w:firstLineChars="200"/>
        <w:rPr>
          <w:rFonts w:hint="eastAsia" w:ascii="楷体" w:hAnsi="楷体" w:eastAsia="楷体" w:cs="楷体"/>
          <w:bCs/>
          <w:sz w:val="21"/>
          <w:szCs w:val="21"/>
        </w:rPr>
      </w:pPr>
      <w:r>
        <w:rPr>
          <w:rFonts w:hint="eastAsia" w:ascii="楷体" w:hAnsi="楷体" w:eastAsia="楷体" w:cs="楷体"/>
          <w:bCs/>
          <w:sz w:val="21"/>
          <w:szCs w:val="21"/>
        </w:rPr>
        <w:t>本学期工作将紧紧围绕“双减”工作，以《中共中央国务院关于深化教育教学改革全面提高义务教育质量的意见》为指导，学习与落实《义务教育数学课程标准（2022版）》对教学的要求，围绕《常州市小学数学“十四五”发展规划（2021年—2025年）》</w:t>
      </w:r>
      <w:r>
        <w:rPr>
          <w:rFonts w:hint="eastAsia" w:ascii="楷体" w:hAnsi="楷体" w:eastAsia="楷体" w:cs="楷体"/>
          <w:bCs/>
          <w:sz w:val="21"/>
          <w:szCs w:val="21"/>
          <w:lang w:val="en-US" w:eastAsia="zh-CN"/>
        </w:rPr>
        <w:t>和</w:t>
      </w:r>
      <w:r>
        <w:rPr>
          <w:rFonts w:hint="eastAsia" w:ascii="楷体" w:hAnsi="楷体" w:eastAsia="楷体" w:cs="楷体"/>
          <w:bCs/>
          <w:sz w:val="21"/>
          <w:szCs w:val="21"/>
        </w:rPr>
        <w:t>常州市小数提出的“创造适合每一个孩子的数学教育”的学科发展追求，结合</w:t>
      </w:r>
      <w:r>
        <w:rPr>
          <w:rFonts w:hint="eastAsia" w:ascii="楷体" w:hAnsi="楷体" w:eastAsia="楷体" w:cs="楷体"/>
          <w:bCs/>
          <w:sz w:val="21"/>
          <w:szCs w:val="21"/>
          <w:lang w:val="en-US" w:eastAsia="zh-CN"/>
        </w:rPr>
        <w:t>本校</w:t>
      </w:r>
      <w:r>
        <w:rPr>
          <w:rFonts w:hint="eastAsia" w:ascii="楷体" w:hAnsi="楷体" w:eastAsia="楷体" w:cs="楷体"/>
          <w:bCs/>
          <w:sz w:val="21"/>
          <w:szCs w:val="21"/>
        </w:rPr>
        <w:t>实际，聚力“新教学”研究项目，</w:t>
      </w:r>
      <w:r>
        <w:rPr>
          <w:rFonts w:hint="eastAsia" w:ascii="楷体" w:hAnsi="楷体" w:eastAsia="楷体" w:cs="楷体"/>
          <w:bCs/>
          <w:sz w:val="21"/>
          <w:szCs w:val="21"/>
          <w:lang w:eastAsia="zh-CN"/>
        </w:rPr>
        <w:t>坚持以教研活动提升学科教学质量，促进课堂教学“优质减负”的生态发展，以多种载体促进组内教师的专业成长，着力提升教学、教研的有效性。以此</w:t>
      </w:r>
      <w:r>
        <w:rPr>
          <w:rFonts w:hint="eastAsia" w:ascii="楷体" w:hAnsi="楷体" w:eastAsia="楷体" w:cs="楷体"/>
          <w:bCs/>
          <w:sz w:val="21"/>
          <w:szCs w:val="21"/>
        </w:rPr>
        <w:t>推进实施教研组文化建设及</w:t>
      </w:r>
      <w:r>
        <w:rPr>
          <w:rFonts w:hint="eastAsia" w:ascii="楷体" w:hAnsi="楷体" w:eastAsia="楷体" w:cs="楷体"/>
          <w:bCs/>
          <w:sz w:val="21"/>
          <w:szCs w:val="21"/>
          <w:lang w:eastAsia="zh-CN"/>
        </w:rPr>
        <w:t>数学</w:t>
      </w:r>
      <w:r>
        <w:rPr>
          <w:rFonts w:hint="eastAsia" w:ascii="楷体" w:hAnsi="楷体" w:eastAsia="楷体" w:cs="楷体"/>
          <w:bCs/>
          <w:sz w:val="21"/>
          <w:szCs w:val="21"/>
        </w:rPr>
        <w:t>课程建设</w:t>
      </w:r>
      <w:r>
        <w:rPr>
          <w:rFonts w:hint="eastAsia" w:ascii="楷体" w:hAnsi="楷体" w:eastAsia="楷体" w:cs="楷体"/>
          <w:bCs/>
          <w:sz w:val="21"/>
          <w:szCs w:val="21"/>
          <w:lang w:eastAsia="zh-CN"/>
        </w:rPr>
        <w:t>，</w:t>
      </w:r>
      <w:r>
        <w:rPr>
          <w:rFonts w:hint="eastAsia" w:ascii="楷体" w:hAnsi="楷体" w:eastAsia="楷体" w:cs="楷体"/>
          <w:bCs/>
          <w:sz w:val="21"/>
          <w:szCs w:val="21"/>
        </w:rPr>
        <w:t>促进</w:t>
      </w:r>
      <w:r>
        <w:rPr>
          <w:rFonts w:hint="eastAsia" w:ascii="楷体" w:hAnsi="楷体" w:eastAsia="楷体" w:cs="楷体"/>
          <w:bCs/>
          <w:sz w:val="21"/>
          <w:szCs w:val="21"/>
          <w:lang w:eastAsia="zh-CN"/>
        </w:rPr>
        <w:t>师</w:t>
      </w:r>
      <w:r>
        <w:rPr>
          <w:rFonts w:hint="eastAsia" w:ascii="楷体" w:hAnsi="楷体" w:eastAsia="楷体" w:cs="楷体"/>
          <w:bCs/>
          <w:sz w:val="21"/>
          <w:szCs w:val="21"/>
        </w:rPr>
        <w:t>生</w:t>
      </w:r>
      <w:r>
        <w:rPr>
          <w:rFonts w:hint="eastAsia" w:ascii="楷体" w:hAnsi="楷体" w:eastAsia="楷体" w:cs="楷体"/>
          <w:bCs/>
          <w:sz w:val="21"/>
          <w:szCs w:val="21"/>
          <w:lang w:eastAsia="zh-CN"/>
        </w:rPr>
        <w:t>的</w:t>
      </w:r>
      <w:r>
        <w:rPr>
          <w:rFonts w:hint="eastAsia" w:ascii="楷体" w:hAnsi="楷体" w:eastAsia="楷体" w:cs="楷体"/>
          <w:bCs/>
          <w:sz w:val="21"/>
          <w:szCs w:val="21"/>
        </w:rPr>
        <w:t>共同发展。</w:t>
      </w:r>
    </w:p>
    <w:p>
      <w:pPr>
        <w:pStyle w:val="8"/>
        <w:spacing w:line="300" w:lineRule="auto"/>
        <w:ind w:firstLine="420" w:firstLineChars="200"/>
        <w:rPr>
          <w:rFonts w:hint="eastAsia" w:ascii="楷体" w:hAnsi="楷体" w:eastAsia="楷体" w:cs="楷体"/>
          <w:bCs/>
          <w:sz w:val="21"/>
          <w:szCs w:val="21"/>
        </w:rPr>
      </w:pPr>
    </w:p>
    <w:p>
      <w:pPr>
        <w:spacing w:before="156" w:beforeLines="50" w:after="156" w:afterLines="50"/>
        <w:rPr>
          <w:rFonts w:hint="eastAsia" w:ascii="黑体" w:hAnsi="黑体" w:eastAsia="黑体"/>
          <w:b/>
          <w:sz w:val="28"/>
          <w:szCs w:val="28"/>
        </w:rPr>
      </w:pPr>
      <w:r>
        <w:rPr>
          <w:rFonts w:hint="eastAsia" w:ascii="黑体" w:hAnsi="黑体" w:eastAsia="黑体"/>
          <w:b/>
          <w:sz w:val="30"/>
          <w:szCs w:val="30"/>
        </w:rPr>
        <w:t>工作思路</w:t>
      </w:r>
    </w:p>
    <w:p>
      <w:pPr>
        <w:pStyle w:val="8"/>
        <w:spacing w:line="300" w:lineRule="auto"/>
        <w:rPr>
          <w:rFonts w:hint="eastAsia" w:ascii="楷体" w:hAnsi="楷体" w:eastAsia="PMingLiU" w:cs="楷体"/>
          <w:bCs/>
          <w:sz w:val="21"/>
          <w:szCs w:val="21"/>
        </w:rPr>
      </w:pPr>
      <w:r>
        <w:rPr>
          <w:rFonts w:hint="eastAsia" w:ascii="楷体" w:hAnsi="楷体" w:eastAsia="楷体" w:cs="宋体"/>
          <w:bCs/>
          <w:sz w:val="21"/>
          <w:szCs w:val="21"/>
          <w:lang w:eastAsia="zh-CN"/>
        </w:rPr>
        <w:t>（一）要加强《</w:t>
      </w:r>
      <w:r>
        <w:rPr>
          <w:rFonts w:hint="eastAsia" w:ascii="楷体" w:hAnsi="楷体" w:eastAsia="楷体" w:cs="宋体"/>
          <w:bCs/>
          <w:sz w:val="21"/>
          <w:szCs w:val="21"/>
          <w:lang w:val="en-US" w:eastAsia="zh-CN"/>
        </w:rPr>
        <w:t>义务教育数学课程标准（2022版）</w:t>
      </w:r>
      <w:r>
        <w:rPr>
          <w:rFonts w:hint="eastAsia" w:ascii="楷体" w:hAnsi="楷体" w:eastAsia="楷体" w:cs="宋体"/>
          <w:bCs/>
          <w:sz w:val="21"/>
          <w:szCs w:val="21"/>
          <w:lang w:eastAsia="zh-CN"/>
        </w:rPr>
        <w:t>》</w:t>
      </w:r>
      <w:r>
        <w:rPr>
          <w:rFonts w:hint="eastAsia" w:ascii="楷体" w:hAnsi="楷体" w:eastAsia="楷体" w:cs="宋体"/>
          <w:bCs/>
          <w:sz w:val="21"/>
          <w:szCs w:val="21"/>
          <w:lang w:val="en-US" w:eastAsia="zh-CN"/>
        </w:rPr>
        <w:t>的研读。全组</w:t>
      </w:r>
      <w:r>
        <w:rPr>
          <w:rFonts w:hint="eastAsia" w:ascii="楷体" w:hAnsi="楷体" w:eastAsia="楷体" w:cs="楷体"/>
          <w:bCs/>
          <w:sz w:val="21"/>
          <w:szCs w:val="21"/>
          <w:lang w:val="en-US" w:eastAsia="zh-CN"/>
        </w:rPr>
        <w:t>教师积极</w:t>
      </w:r>
      <w:r>
        <w:rPr>
          <w:rFonts w:hint="eastAsia" w:ascii="楷体" w:hAnsi="楷体" w:eastAsia="楷体" w:cs="楷体"/>
          <w:bCs/>
          <w:sz w:val="21"/>
          <w:szCs w:val="21"/>
        </w:rPr>
        <w:t>探索素养导向</w:t>
      </w:r>
      <w:r>
        <w:rPr>
          <w:rFonts w:hint="eastAsia" w:ascii="楷体" w:hAnsi="楷体" w:eastAsia="楷体" w:cs="楷体"/>
          <w:bCs/>
          <w:sz w:val="21"/>
          <w:szCs w:val="21"/>
          <w:lang w:val="en-US" w:eastAsia="zh-CN"/>
        </w:rPr>
        <w:t>的</w:t>
      </w:r>
      <w:r>
        <w:rPr>
          <w:rFonts w:hint="eastAsia" w:ascii="楷体" w:hAnsi="楷体" w:eastAsia="楷体" w:cs="楷体"/>
          <w:bCs/>
          <w:sz w:val="21"/>
          <w:szCs w:val="21"/>
        </w:rPr>
        <w:t>教学新常态，寻找深化课程改革的突破口和生长点。</w:t>
      </w:r>
    </w:p>
    <w:p>
      <w:pPr>
        <w:pStyle w:val="8"/>
        <w:spacing w:line="300" w:lineRule="auto"/>
        <w:rPr>
          <w:rFonts w:ascii="楷体" w:hAnsi="楷体" w:eastAsia="楷体" w:cs="楷体"/>
          <w:bCs/>
          <w:sz w:val="21"/>
          <w:szCs w:val="21"/>
          <w:lang w:eastAsia="zh-CN"/>
        </w:rPr>
      </w:pPr>
      <w:r>
        <w:rPr>
          <w:rFonts w:hint="eastAsia" w:ascii="楷体" w:hAnsi="楷体" w:eastAsia="楷体" w:cs="宋体"/>
          <w:bCs/>
          <w:sz w:val="21"/>
          <w:szCs w:val="21"/>
        </w:rPr>
        <w:t>（二）要加强</w:t>
      </w:r>
      <w:r>
        <w:rPr>
          <w:rFonts w:hint="eastAsia" w:ascii="楷体" w:hAnsi="楷体" w:eastAsia="楷体" w:cs="宋体"/>
          <w:bCs/>
          <w:sz w:val="21"/>
          <w:szCs w:val="21"/>
          <w:lang w:val="en-US" w:eastAsia="zh-CN"/>
        </w:rPr>
        <w:t>素养导向下的教学新常态研究。</w:t>
      </w:r>
      <w:r>
        <w:rPr>
          <w:rFonts w:hint="eastAsia" w:ascii="楷体" w:hAnsi="楷体" w:eastAsia="楷体" w:cs="宋体"/>
          <w:bCs/>
          <w:sz w:val="21"/>
          <w:szCs w:val="21"/>
          <w:lang w:eastAsia="zh-CN"/>
        </w:rPr>
        <w:t>全组</w:t>
      </w:r>
      <w:r>
        <w:rPr>
          <w:rFonts w:hint="eastAsia" w:ascii="楷体" w:hAnsi="楷体" w:eastAsia="楷体" w:cs="宋体"/>
          <w:bCs/>
          <w:sz w:val="21"/>
          <w:szCs w:val="21"/>
          <w:lang w:val="en-US" w:eastAsia="zh-CN"/>
        </w:rPr>
        <w:t>教师立足于发展学生数学素养及关键能力，开展教学新常态的研究。</w:t>
      </w:r>
    </w:p>
    <w:p>
      <w:pPr>
        <w:pStyle w:val="8"/>
        <w:spacing w:line="300" w:lineRule="auto"/>
        <w:rPr>
          <w:rFonts w:ascii="楷体" w:hAnsi="楷体" w:eastAsia="PMingLiU" w:cs="宋体"/>
          <w:bCs/>
          <w:szCs w:val="21"/>
        </w:rPr>
      </w:pPr>
      <w:r>
        <w:rPr>
          <w:rFonts w:hint="eastAsia" w:ascii="楷体" w:hAnsi="楷体" w:eastAsia="楷体" w:cs="楷体"/>
          <w:bCs/>
          <w:sz w:val="21"/>
          <w:szCs w:val="21"/>
          <w:lang w:eastAsia="zh-CN"/>
        </w:rPr>
        <w:t>（三）</w:t>
      </w:r>
      <w:r>
        <w:rPr>
          <w:rFonts w:hint="eastAsia" w:ascii="楷体" w:hAnsi="楷体" w:eastAsia="楷体" w:cs="宋体"/>
          <w:bCs/>
          <w:szCs w:val="21"/>
        </w:rPr>
        <w:t>要加强“</w:t>
      </w:r>
      <w:r>
        <w:rPr>
          <w:rFonts w:hint="eastAsia" w:ascii="楷体" w:hAnsi="楷体" w:eastAsia="楷体" w:cs="宋体"/>
          <w:bCs/>
          <w:szCs w:val="21"/>
          <w:lang w:val="en-US" w:eastAsia="zh-CN"/>
        </w:rPr>
        <w:t>作业设计</w:t>
      </w:r>
      <w:r>
        <w:rPr>
          <w:rFonts w:hint="eastAsia" w:ascii="楷体" w:hAnsi="楷体" w:eastAsia="楷体" w:cs="宋体"/>
          <w:bCs/>
          <w:szCs w:val="21"/>
        </w:rPr>
        <w:t>”</w:t>
      </w:r>
      <w:r>
        <w:rPr>
          <w:rFonts w:hint="eastAsia" w:ascii="楷体" w:hAnsi="楷体" w:eastAsia="楷体" w:cs="宋体"/>
          <w:bCs/>
          <w:szCs w:val="21"/>
          <w:lang w:val="en-US" w:eastAsia="zh-CN"/>
        </w:rPr>
        <w:t>研究。</w:t>
      </w:r>
      <w:r>
        <w:rPr>
          <w:rFonts w:hint="eastAsia" w:ascii="楷体" w:hAnsi="楷体" w:eastAsia="楷体" w:cs="宋体"/>
          <w:bCs/>
          <w:sz w:val="21"/>
          <w:szCs w:val="21"/>
          <w:lang w:val="en-US" w:eastAsia="zh-CN"/>
        </w:rPr>
        <w:t>要加强</w:t>
      </w:r>
      <w:r>
        <w:rPr>
          <w:rFonts w:hint="eastAsia" w:ascii="楷体" w:hAnsi="楷体" w:eastAsia="楷体" w:cs="宋体"/>
          <w:bCs/>
          <w:szCs w:val="21"/>
        </w:rPr>
        <w:t>作业及质量监测工具的研究</w:t>
      </w:r>
      <w:r>
        <w:rPr>
          <w:rFonts w:hint="eastAsia" w:ascii="楷体" w:hAnsi="楷体" w:eastAsia="楷体" w:cs="宋体"/>
          <w:bCs/>
          <w:szCs w:val="21"/>
          <w:lang w:eastAsia="zh-CN"/>
        </w:rPr>
        <w:t>，</w:t>
      </w:r>
      <w:r>
        <w:rPr>
          <w:rFonts w:hint="eastAsia" w:ascii="楷体" w:hAnsi="楷体" w:eastAsia="楷体" w:cs="宋体"/>
          <w:bCs/>
          <w:szCs w:val="21"/>
          <w:lang w:val="en-US" w:eastAsia="zh-CN"/>
        </w:rPr>
        <w:t>要加强</w:t>
      </w:r>
      <w:r>
        <w:rPr>
          <w:rFonts w:hint="eastAsia" w:ascii="楷体" w:hAnsi="楷体" w:eastAsia="楷体" w:cs="宋体"/>
          <w:bCs/>
          <w:szCs w:val="21"/>
        </w:rPr>
        <w:t>学科素养及关键能力的练习开发与设计。</w:t>
      </w:r>
    </w:p>
    <w:p>
      <w:pPr>
        <w:pStyle w:val="8"/>
        <w:spacing w:line="300" w:lineRule="auto"/>
        <w:rPr>
          <w:rFonts w:ascii="楷体" w:hAnsi="楷体" w:eastAsia="楷体" w:cs="宋体"/>
          <w:bCs/>
          <w:sz w:val="21"/>
          <w:szCs w:val="21"/>
          <w:lang w:eastAsia="zh-CN"/>
        </w:rPr>
      </w:pPr>
      <w:r>
        <w:rPr>
          <w:rFonts w:hint="eastAsia" w:ascii="楷体" w:hAnsi="楷体" w:eastAsia="楷体" w:cs="宋体"/>
          <w:bCs/>
          <w:szCs w:val="21"/>
        </w:rPr>
        <w:t>（四）</w:t>
      </w:r>
      <w:r>
        <w:rPr>
          <w:rFonts w:hint="eastAsia" w:ascii="楷体" w:hAnsi="楷体" w:eastAsia="楷体" w:cs="楷体"/>
          <w:bCs/>
          <w:sz w:val="21"/>
          <w:szCs w:val="21"/>
          <w:lang w:val="en-US" w:eastAsia="zh-CN"/>
        </w:rPr>
        <w:t>要加强</w:t>
      </w:r>
      <w:r>
        <w:rPr>
          <w:rFonts w:hint="eastAsia" w:ascii="楷体" w:hAnsi="楷体" w:eastAsia="楷体" w:cs="宋体"/>
          <w:bCs/>
          <w:sz w:val="21"/>
          <w:szCs w:val="21"/>
          <w:lang w:eastAsia="zh-CN"/>
        </w:rPr>
        <w:t>学科教学常规的落实。好的常规是学科发展的基础，也是必要保证。全组教师再次共同学习并落实我校数学教学常规。</w:t>
      </w:r>
    </w:p>
    <w:p>
      <w:pPr>
        <w:pStyle w:val="8"/>
        <w:spacing w:line="300" w:lineRule="auto"/>
        <w:rPr>
          <w:rFonts w:hint="eastAsia" w:ascii="楷体" w:hAnsi="楷体" w:eastAsia="楷体" w:cs="宋体"/>
          <w:bCs/>
          <w:sz w:val="21"/>
          <w:szCs w:val="21"/>
          <w:lang w:eastAsia="zh-CN"/>
        </w:rPr>
      </w:pPr>
      <w:r>
        <w:rPr>
          <w:rFonts w:hint="eastAsia" w:ascii="楷体" w:hAnsi="楷体" w:eastAsia="楷体" w:cs="宋体"/>
          <w:bCs/>
          <w:sz w:val="21"/>
          <w:szCs w:val="21"/>
          <w:lang w:eastAsia="zh-CN"/>
        </w:rPr>
        <w:t>（五）要加强理论研究，通过文献研究促成果提炼</w:t>
      </w:r>
      <w:r>
        <w:rPr>
          <w:rFonts w:hint="eastAsia" w:ascii="楷体" w:hAnsi="楷体" w:eastAsia="楷体" w:cs="宋体"/>
          <w:bCs/>
          <w:sz w:val="21"/>
          <w:szCs w:val="21"/>
        </w:rPr>
        <w:t>。</w:t>
      </w:r>
      <w:r>
        <w:rPr>
          <w:rFonts w:hint="eastAsia" w:ascii="楷体" w:hAnsi="楷体" w:eastAsia="楷体" w:cs="宋体"/>
          <w:bCs/>
          <w:sz w:val="21"/>
          <w:szCs w:val="21"/>
          <w:lang w:val="en-US" w:eastAsia="zh-CN"/>
        </w:rPr>
        <w:t>基于主题，加强文献研究，以文献研究为基础，帮助老师实现教学-科研的成果转化。</w:t>
      </w:r>
    </w:p>
    <w:p>
      <w:pPr>
        <w:spacing w:before="156" w:beforeLines="50" w:after="156" w:afterLines="50"/>
        <w:rPr>
          <w:rFonts w:hint="eastAsia" w:ascii="黑体" w:hAnsi="黑体" w:eastAsia="黑体"/>
          <w:b/>
          <w:sz w:val="30"/>
          <w:szCs w:val="30"/>
        </w:rPr>
      </w:pPr>
      <w:r>
        <w:rPr>
          <w:rFonts w:hint="eastAsia" w:ascii="黑体" w:hAnsi="黑体" w:eastAsia="黑体"/>
          <w:b/>
          <w:sz w:val="30"/>
          <w:szCs w:val="30"/>
        </w:rPr>
        <w:t>主要工作</w:t>
      </w:r>
    </w:p>
    <w:p>
      <w:pPr>
        <w:numPr>
          <w:ilvl w:val="0"/>
          <w:numId w:val="0"/>
        </w:numPr>
        <w:spacing w:before="156" w:beforeLines="50" w:after="156" w:afterLines="50"/>
        <w:rPr>
          <w:rFonts w:hint="eastAsia" w:ascii="宋体" w:hAnsi="宋体" w:eastAsia="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一、</w:t>
      </w:r>
      <w:r>
        <w:rPr>
          <w:rFonts w:hint="eastAsia" w:ascii="宋体" w:hAnsi="宋体" w:eastAsia="宋体" w:cs="宋体"/>
          <w:b/>
          <w:bCs/>
          <w:color w:val="000000"/>
          <w:kern w:val="0"/>
          <w:sz w:val="24"/>
          <w:szCs w:val="24"/>
          <w:lang w:val="en-US" w:eastAsia="zh-CN"/>
        </w:rPr>
        <w:t>提</w:t>
      </w:r>
      <w:r>
        <w:rPr>
          <w:rFonts w:hint="eastAsia" w:ascii="宋体" w:hAnsi="宋体" w:cs="宋体"/>
          <w:b/>
          <w:bCs/>
          <w:color w:val="000000"/>
          <w:kern w:val="0"/>
          <w:sz w:val="24"/>
          <w:szCs w:val="24"/>
          <w:lang w:val="en-US" w:eastAsia="zh-CN"/>
        </w:rPr>
        <w:t>高</w:t>
      </w:r>
      <w:r>
        <w:rPr>
          <w:rFonts w:hint="eastAsia" w:ascii="宋体" w:hAnsi="宋体" w:eastAsia="宋体" w:cs="宋体"/>
          <w:b/>
          <w:bCs/>
          <w:color w:val="000000"/>
          <w:kern w:val="0"/>
          <w:sz w:val="24"/>
          <w:szCs w:val="24"/>
          <w:lang w:val="en-US" w:eastAsia="zh-CN"/>
        </w:rPr>
        <w:t>理论水平,增强课程实施能力。</w:t>
      </w:r>
    </w:p>
    <w:p>
      <w:pPr>
        <w:pStyle w:val="8"/>
        <w:spacing w:line="300" w:lineRule="auto"/>
        <w:rPr>
          <w:rFonts w:hint="eastAsia" w:ascii="楷体" w:hAnsi="楷体" w:eastAsia="楷体" w:cs="楷体"/>
          <w:bCs/>
          <w:sz w:val="21"/>
          <w:szCs w:val="21"/>
          <w:lang w:val="en-US" w:eastAsia="zh-CN"/>
        </w:rPr>
      </w:pPr>
      <w:r>
        <w:rPr>
          <w:rFonts w:hint="eastAsia" w:ascii="楷体" w:hAnsi="楷体" w:eastAsia="楷体" w:cs="楷体"/>
          <w:bCs/>
          <w:sz w:val="21"/>
          <w:szCs w:val="21"/>
          <w:lang w:val="en-US" w:eastAsia="zh-CN"/>
        </w:rPr>
        <w:t>关注《义务教育数学课程标准（2022版）》的研读。</w:t>
      </w:r>
    </w:p>
    <w:p>
      <w:pPr>
        <w:pStyle w:val="8"/>
        <w:spacing w:line="300" w:lineRule="auto"/>
        <w:rPr>
          <w:rFonts w:hint="eastAsia" w:ascii="楷体" w:hAnsi="楷体" w:eastAsia="楷体" w:cs="楷体"/>
          <w:bCs/>
          <w:sz w:val="21"/>
          <w:szCs w:val="21"/>
          <w:lang w:val="en-US" w:eastAsia="zh-CN"/>
        </w:rPr>
      </w:pPr>
      <w:r>
        <w:rPr>
          <w:rFonts w:hint="eastAsia" w:ascii="楷体" w:hAnsi="楷体" w:eastAsia="楷体" w:cs="楷体"/>
          <w:bCs/>
          <w:sz w:val="21"/>
          <w:szCs w:val="21"/>
          <w:lang w:val="en-US" w:eastAsia="zh-CN"/>
        </w:rPr>
        <w:t>本次义务教育课程修订既吸收了新世纪以来的课改经验，同时在落实立德树人根本任务、确立课程核心素养基本理念、破解“减负增效”关键问题和增加学业质量标准等方面提出了改革要求，寻找深化课程改革的突破口和生长点。</w:t>
      </w:r>
    </w:p>
    <w:p>
      <w:pPr>
        <w:numPr>
          <w:ilvl w:val="0"/>
          <w:numId w:val="0"/>
        </w:numPr>
        <w:spacing w:before="156" w:beforeLines="50" w:after="156" w:afterLines="50"/>
        <w:rPr>
          <w:rFonts w:hint="eastAsia" w:ascii="宋体" w:hAnsi="宋体" w:eastAsia="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二、重视常规检查</w:t>
      </w:r>
      <w:r>
        <w:rPr>
          <w:rFonts w:hint="eastAsia" w:ascii="宋体" w:hAnsi="宋体" w:eastAsia="宋体" w:cs="宋体"/>
          <w:b/>
          <w:bCs/>
          <w:color w:val="000000"/>
          <w:kern w:val="0"/>
          <w:sz w:val="24"/>
          <w:szCs w:val="24"/>
          <w:lang w:val="en-US" w:eastAsia="zh-CN"/>
        </w:rPr>
        <w:t>,</w:t>
      </w:r>
      <w:r>
        <w:rPr>
          <w:rFonts w:hint="eastAsia" w:ascii="宋体" w:hAnsi="宋体" w:cs="宋体"/>
          <w:b/>
          <w:bCs/>
          <w:color w:val="000000"/>
          <w:kern w:val="0"/>
          <w:sz w:val="24"/>
          <w:szCs w:val="24"/>
          <w:lang w:val="en-US" w:eastAsia="zh-CN"/>
        </w:rPr>
        <w:t>规范有质教学</w:t>
      </w:r>
    </w:p>
    <w:p>
      <w:pPr>
        <w:spacing w:line="360" w:lineRule="auto"/>
        <w:ind w:firstLine="420" w:firstLineChars="200"/>
        <w:rPr>
          <w:rFonts w:ascii="楷体" w:hAnsi="楷体" w:eastAsia="楷体"/>
          <w:szCs w:val="21"/>
        </w:rPr>
      </w:pPr>
      <w:r>
        <w:rPr>
          <w:rFonts w:hint="eastAsia" w:ascii="楷体" w:hAnsi="楷体" w:eastAsia="楷体"/>
          <w:szCs w:val="21"/>
        </w:rPr>
        <w:t>（一）常规检查</w:t>
      </w:r>
    </w:p>
    <w:p>
      <w:pPr>
        <w:spacing w:line="360" w:lineRule="auto"/>
        <w:ind w:firstLine="420" w:firstLineChars="200"/>
        <w:rPr>
          <w:rFonts w:ascii="楷体" w:hAnsi="楷体" w:eastAsia="楷体"/>
          <w:szCs w:val="21"/>
        </w:rPr>
      </w:pPr>
      <w:r>
        <w:rPr>
          <w:rFonts w:hint="eastAsia" w:ascii="楷体" w:hAnsi="楷体" w:eastAsia="楷体"/>
          <w:szCs w:val="21"/>
        </w:rPr>
        <w:t>1.备课</w:t>
      </w:r>
    </w:p>
    <w:p>
      <w:pPr>
        <w:spacing w:line="360" w:lineRule="auto"/>
        <w:ind w:firstLine="420" w:firstLineChars="200"/>
        <w:rPr>
          <w:rFonts w:ascii="楷体" w:hAnsi="楷体" w:eastAsia="楷体"/>
          <w:szCs w:val="21"/>
        </w:rPr>
      </w:pPr>
      <w:r>
        <w:rPr>
          <w:rFonts w:hint="eastAsia" w:ascii="楷体" w:hAnsi="楷体" w:eastAsia="楷体"/>
          <w:szCs w:val="21"/>
        </w:rPr>
        <w:t>（1）独立备课</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709"/>
        <w:gridCol w:w="3260"/>
        <w:gridCol w:w="3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851" w:type="dxa"/>
            <w:vMerge w:val="restart"/>
            <w:shd w:val="clear" w:color="auto" w:fill="auto"/>
            <w:vAlign w:val="center"/>
          </w:tcPr>
          <w:p>
            <w:pPr>
              <w:spacing w:line="360" w:lineRule="auto"/>
              <w:contextualSpacing/>
              <w:jc w:val="center"/>
              <w:rPr>
                <w:rFonts w:ascii="楷体" w:hAnsi="楷体" w:eastAsia="楷体"/>
                <w:szCs w:val="21"/>
              </w:rPr>
            </w:pPr>
            <w:r>
              <w:rPr>
                <w:rFonts w:hint="eastAsia" w:ascii="楷体" w:hAnsi="楷体" w:eastAsia="楷体"/>
                <w:szCs w:val="21"/>
              </w:rPr>
              <w:t>备课</w:t>
            </w:r>
          </w:p>
          <w:p>
            <w:pPr>
              <w:spacing w:line="360" w:lineRule="auto"/>
              <w:contextualSpacing/>
              <w:jc w:val="center"/>
              <w:rPr>
                <w:rFonts w:ascii="楷体" w:hAnsi="楷体" w:eastAsia="楷体"/>
                <w:szCs w:val="21"/>
              </w:rPr>
            </w:pPr>
            <w:r>
              <w:rPr>
                <w:rFonts w:hint="eastAsia" w:ascii="楷体" w:hAnsi="楷体" w:eastAsia="楷体"/>
                <w:szCs w:val="21"/>
              </w:rPr>
              <w:t>检查</w:t>
            </w:r>
          </w:p>
        </w:tc>
        <w:tc>
          <w:tcPr>
            <w:tcW w:w="709" w:type="dxa"/>
            <w:tcBorders>
              <w:bottom w:val="single" w:color="auto" w:sz="4" w:space="0"/>
            </w:tcBorders>
            <w:shd w:val="clear" w:color="auto" w:fill="auto"/>
            <w:vAlign w:val="center"/>
          </w:tcPr>
          <w:p>
            <w:pPr>
              <w:spacing w:line="360" w:lineRule="auto"/>
              <w:contextualSpacing/>
              <w:jc w:val="center"/>
              <w:rPr>
                <w:rFonts w:ascii="楷体" w:hAnsi="楷体" w:eastAsia="楷体"/>
                <w:szCs w:val="21"/>
              </w:rPr>
            </w:pPr>
            <w:r>
              <w:rPr>
                <w:rFonts w:hint="eastAsia" w:ascii="楷体" w:hAnsi="楷体" w:eastAsia="楷体"/>
                <w:szCs w:val="21"/>
              </w:rPr>
              <w:t>二备</w:t>
            </w:r>
          </w:p>
        </w:tc>
        <w:tc>
          <w:tcPr>
            <w:tcW w:w="3260" w:type="dxa"/>
            <w:tcBorders>
              <w:bottom w:val="single" w:color="auto" w:sz="4" w:space="0"/>
            </w:tcBorders>
            <w:shd w:val="clear" w:color="auto" w:fill="auto"/>
          </w:tcPr>
          <w:p>
            <w:pPr>
              <w:spacing w:line="360" w:lineRule="auto"/>
              <w:contextualSpacing/>
              <w:rPr>
                <w:rFonts w:ascii="楷体" w:hAnsi="楷体" w:eastAsia="楷体"/>
                <w:szCs w:val="21"/>
              </w:rPr>
            </w:pPr>
            <w:r>
              <w:rPr>
                <w:rFonts w:hint="eastAsia" w:ascii="楷体" w:hAnsi="楷体" w:eastAsia="楷体"/>
                <w:szCs w:val="21"/>
              </w:rPr>
              <w:t>40周岁</w:t>
            </w:r>
            <w:r>
              <w:rPr>
                <w:rFonts w:ascii="楷体" w:hAnsi="楷体" w:eastAsia="楷体"/>
                <w:szCs w:val="21"/>
              </w:rPr>
              <w:t>以下教师所有</w:t>
            </w:r>
            <w:r>
              <w:rPr>
                <w:rFonts w:hint="eastAsia" w:ascii="楷体" w:hAnsi="楷体" w:eastAsia="楷体"/>
                <w:szCs w:val="21"/>
              </w:rPr>
              <w:t>课时都要进行二备。</w:t>
            </w:r>
            <w:r>
              <w:rPr>
                <w:rFonts w:ascii="楷体" w:hAnsi="楷体" w:eastAsia="楷体"/>
                <w:szCs w:val="21"/>
              </w:rPr>
              <w:t>可全部独立备课</w:t>
            </w:r>
            <w:r>
              <w:rPr>
                <w:rFonts w:hint="eastAsia" w:ascii="楷体" w:hAnsi="楷体" w:eastAsia="楷体"/>
                <w:szCs w:val="21"/>
              </w:rPr>
              <w:t>（要呈现完整的教学设计）</w:t>
            </w:r>
            <w:r>
              <w:rPr>
                <w:rFonts w:ascii="楷体" w:hAnsi="楷体" w:eastAsia="楷体"/>
                <w:szCs w:val="21"/>
              </w:rPr>
              <w:t>，也</w:t>
            </w:r>
            <w:r>
              <w:rPr>
                <w:rFonts w:hint="eastAsia" w:ascii="楷体" w:hAnsi="楷体" w:eastAsia="楷体"/>
                <w:szCs w:val="21"/>
              </w:rPr>
              <w:t>可在他人一备的基础上增添追问、习题或改动教学环节等。</w:t>
            </w:r>
          </w:p>
        </w:tc>
        <w:tc>
          <w:tcPr>
            <w:tcW w:w="3544" w:type="dxa"/>
            <w:tcBorders>
              <w:bottom w:val="single" w:color="auto" w:sz="4" w:space="0"/>
            </w:tcBorders>
            <w:shd w:val="clear" w:color="auto" w:fill="auto"/>
          </w:tcPr>
          <w:p>
            <w:pPr>
              <w:spacing w:line="360" w:lineRule="auto"/>
              <w:contextualSpacing/>
              <w:rPr>
                <w:rFonts w:ascii="楷体" w:hAnsi="楷体" w:eastAsia="楷体"/>
                <w:szCs w:val="21"/>
              </w:rPr>
            </w:pPr>
            <w:r>
              <w:rPr>
                <w:rFonts w:hint="eastAsia" w:ascii="楷体" w:hAnsi="楷体" w:eastAsia="楷体"/>
                <w:szCs w:val="21"/>
              </w:rPr>
              <w:t>40周岁及以上</w:t>
            </w:r>
            <w:r>
              <w:rPr>
                <w:rFonts w:ascii="楷体" w:hAnsi="楷体" w:eastAsia="楷体"/>
                <w:szCs w:val="21"/>
              </w:rPr>
              <w:t>教师可全部独立备课，也可参考</w:t>
            </w:r>
            <w:r>
              <w:rPr>
                <w:rFonts w:hint="eastAsia" w:ascii="楷体" w:hAnsi="楷体" w:eastAsia="楷体"/>
                <w:szCs w:val="21"/>
              </w:rPr>
              <w:t>他人</w:t>
            </w:r>
            <w:r>
              <w:rPr>
                <w:rFonts w:ascii="楷体" w:hAnsi="楷体" w:eastAsia="楷体"/>
                <w:szCs w:val="21"/>
              </w:rPr>
              <w:t>教学设计，但</w:t>
            </w:r>
            <w:r>
              <w:rPr>
                <w:rFonts w:hint="eastAsia" w:ascii="楷体" w:hAnsi="楷体" w:eastAsia="楷体"/>
                <w:szCs w:val="21"/>
              </w:rPr>
              <w:t>要有</w:t>
            </w:r>
            <w:r>
              <w:rPr>
                <w:rFonts w:ascii="楷体" w:hAnsi="楷体" w:eastAsia="楷体"/>
                <w:szCs w:val="21"/>
              </w:rPr>
              <w:t>三分之一的课时进行二备</w:t>
            </w:r>
            <w:r>
              <w:rPr>
                <w:rFonts w:hint="eastAsia" w:ascii="楷体" w:hAnsi="楷体" w:eastAsia="楷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 w:hRule="atLeast"/>
        </w:trPr>
        <w:tc>
          <w:tcPr>
            <w:tcW w:w="851" w:type="dxa"/>
            <w:vMerge w:val="continue"/>
            <w:shd w:val="clear" w:color="auto" w:fill="auto"/>
            <w:vAlign w:val="center"/>
          </w:tcPr>
          <w:p>
            <w:pPr>
              <w:spacing w:line="360" w:lineRule="auto"/>
              <w:contextualSpacing/>
              <w:jc w:val="center"/>
              <w:rPr>
                <w:rFonts w:ascii="楷体" w:hAnsi="楷体" w:eastAsia="楷体"/>
                <w:szCs w:val="21"/>
              </w:rPr>
            </w:pPr>
          </w:p>
        </w:tc>
        <w:tc>
          <w:tcPr>
            <w:tcW w:w="709" w:type="dxa"/>
            <w:shd w:val="clear" w:color="auto" w:fill="auto"/>
            <w:vAlign w:val="center"/>
          </w:tcPr>
          <w:p>
            <w:pPr>
              <w:spacing w:line="360" w:lineRule="auto"/>
              <w:contextualSpacing/>
              <w:jc w:val="center"/>
              <w:rPr>
                <w:rFonts w:ascii="楷体" w:hAnsi="楷体" w:eastAsia="楷体"/>
                <w:szCs w:val="21"/>
              </w:rPr>
            </w:pPr>
            <w:r>
              <w:rPr>
                <w:rFonts w:hint="eastAsia" w:ascii="楷体" w:hAnsi="楷体" w:eastAsia="楷体"/>
                <w:szCs w:val="21"/>
              </w:rPr>
              <w:t>反思</w:t>
            </w:r>
          </w:p>
        </w:tc>
        <w:tc>
          <w:tcPr>
            <w:tcW w:w="3260" w:type="dxa"/>
            <w:shd w:val="clear" w:color="auto" w:fill="auto"/>
          </w:tcPr>
          <w:p>
            <w:pPr>
              <w:spacing w:line="360" w:lineRule="auto"/>
              <w:contextualSpacing/>
              <w:rPr>
                <w:rFonts w:hint="default" w:ascii="楷体" w:hAnsi="楷体" w:eastAsia="楷体"/>
                <w:szCs w:val="21"/>
                <w:lang w:val="en-US" w:eastAsia="zh-CN"/>
              </w:rPr>
            </w:pPr>
            <w:r>
              <w:rPr>
                <w:rFonts w:hint="eastAsia" w:ascii="楷体" w:hAnsi="楷体" w:eastAsia="楷体"/>
                <w:szCs w:val="21"/>
                <w:lang w:val="en-US" w:eastAsia="zh-CN"/>
              </w:rPr>
              <w:t>45周岁以下的老师，要有20篇以上的反思。</w:t>
            </w:r>
          </w:p>
        </w:tc>
        <w:tc>
          <w:tcPr>
            <w:tcW w:w="3544" w:type="dxa"/>
            <w:shd w:val="clear" w:color="auto" w:fill="auto"/>
          </w:tcPr>
          <w:p>
            <w:pPr>
              <w:spacing w:line="360" w:lineRule="auto"/>
              <w:contextualSpacing/>
              <w:rPr>
                <w:rFonts w:ascii="楷体" w:hAnsi="楷体" w:eastAsia="楷体"/>
                <w:szCs w:val="21"/>
              </w:rPr>
            </w:pPr>
            <w:r>
              <w:rPr>
                <w:rFonts w:hint="eastAsia" w:ascii="楷体" w:hAnsi="楷体" w:eastAsia="楷体"/>
                <w:szCs w:val="21"/>
                <w:lang w:val="en-US" w:eastAsia="zh-CN"/>
              </w:rPr>
              <w:t>45周岁</w:t>
            </w:r>
            <w:r>
              <w:rPr>
                <w:rFonts w:ascii="楷体" w:hAnsi="楷体" w:eastAsia="楷体"/>
                <w:szCs w:val="21"/>
              </w:rPr>
              <w:t>以上教师要</w:t>
            </w:r>
            <w:r>
              <w:rPr>
                <w:rFonts w:hint="eastAsia" w:ascii="楷体" w:hAnsi="楷体" w:eastAsia="楷体"/>
                <w:szCs w:val="21"/>
                <w:lang w:val="en-US" w:eastAsia="zh-CN"/>
              </w:rPr>
              <w:t>有10篇</w:t>
            </w:r>
            <w:r>
              <w:rPr>
                <w:rFonts w:ascii="楷体" w:hAnsi="楷体" w:eastAsia="楷体"/>
                <w:szCs w:val="21"/>
              </w:rPr>
              <w:t>教学反思</w:t>
            </w:r>
            <w:r>
              <w:rPr>
                <w:rFonts w:hint="eastAsia" w:ascii="楷体" w:hAnsi="楷体" w:eastAsia="楷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851" w:type="dxa"/>
            <w:vMerge w:val="continue"/>
            <w:shd w:val="clear" w:color="auto" w:fill="auto"/>
            <w:vAlign w:val="center"/>
          </w:tcPr>
          <w:p>
            <w:pPr>
              <w:spacing w:line="360" w:lineRule="auto"/>
              <w:contextualSpacing/>
              <w:rPr>
                <w:rFonts w:ascii="楷体" w:hAnsi="楷体" w:eastAsia="楷体"/>
                <w:szCs w:val="21"/>
              </w:rPr>
            </w:pPr>
          </w:p>
        </w:tc>
        <w:tc>
          <w:tcPr>
            <w:tcW w:w="7513" w:type="dxa"/>
            <w:gridSpan w:val="3"/>
            <w:shd w:val="clear" w:color="auto" w:fill="auto"/>
            <w:vAlign w:val="center"/>
          </w:tcPr>
          <w:p>
            <w:pPr>
              <w:spacing w:line="360" w:lineRule="auto"/>
              <w:contextualSpacing/>
              <w:rPr>
                <w:rFonts w:ascii="楷体" w:hAnsi="楷体" w:eastAsia="楷体"/>
                <w:szCs w:val="21"/>
              </w:rPr>
            </w:pPr>
            <w:r>
              <w:rPr>
                <w:rFonts w:hint="eastAsia" w:ascii="楷体" w:hAnsi="楷体" w:eastAsia="楷体"/>
                <w:szCs w:val="21"/>
              </w:rPr>
              <w:t>本学期将检查两次备课本，时间定在期初与期末。</w:t>
            </w:r>
          </w:p>
        </w:tc>
      </w:tr>
    </w:tbl>
    <w:p>
      <w:pPr>
        <w:spacing w:line="360" w:lineRule="auto"/>
        <w:ind w:firstLine="420" w:firstLineChars="200"/>
        <w:rPr>
          <w:rFonts w:ascii="楷体" w:hAnsi="楷体" w:eastAsia="楷体"/>
          <w:szCs w:val="21"/>
        </w:rPr>
      </w:pPr>
      <w:r>
        <w:rPr>
          <w:rFonts w:hint="eastAsia" w:ascii="楷体" w:hAnsi="楷体" w:eastAsia="楷体"/>
          <w:szCs w:val="21"/>
        </w:rPr>
        <w:t>（2）集体备课</w:t>
      </w:r>
    </w:p>
    <w:p>
      <w:pPr>
        <w:spacing w:line="360" w:lineRule="auto"/>
        <w:ind w:firstLine="420" w:firstLineChars="200"/>
        <w:rPr>
          <w:rFonts w:ascii="楷体" w:hAnsi="楷体" w:eastAsia="楷体" w:cs="宋体"/>
          <w:color w:val="000000"/>
          <w:kern w:val="0"/>
          <w:szCs w:val="21"/>
        </w:rPr>
      </w:pPr>
      <w:r>
        <w:rPr>
          <w:rFonts w:hint="eastAsia" w:ascii="楷体" w:hAnsi="楷体" w:eastAsia="楷体" w:cs="宋体"/>
          <w:color w:val="000000"/>
          <w:kern w:val="0"/>
          <w:szCs w:val="21"/>
        </w:rPr>
        <w:t>本学期集体备课每周一次，分为日常集体备课和集中集体备课。日常集体备课以年级为单位，每周一次，参与人员为同级部的</w:t>
      </w:r>
      <w:r>
        <w:rPr>
          <w:rFonts w:hint="eastAsia" w:ascii="楷体" w:hAnsi="楷体" w:eastAsia="楷体" w:cs="宋体"/>
          <w:color w:val="000000"/>
          <w:kern w:val="0"/>
          <w:szCs w:val="21"/>
          <w:lang w:val="en-US" w:eastAsia="zh-CN"/>
        </w:rPr>
        <w:t>三</w:t>
      </w:r>
      <w:r>
        <w:rPr>
          <w:rFonts w:hint="eastAsia" w:ascii="楷体" w:hAnsi="楷体" w:eastAsia="楷体" w:cs="宋体"/>
          <w:color w:val="000000"/>
          <w:kern w:val="0"/>
          <w:szCs w:val="21"/>
        </w:rPr>
        <w:t>位老师，针对日常教学存在困惑、问题及时探讨，以此为基础结合本班学生实际和教师自身特点进行切实有效地教学设计及反思重建。同时加强二次备课，突出个性化学习目标。</w:t>
      </w:r>
    </w:p>
    <w:p>
      <w:pPr>
        <w:spacing w:line="360" w:lineRule="auto"/>
        <w:ind w:firstLine="420" w:firstLineChars="200"/>
        <w:rPr>
          <w:rFonts w:ascii="楷体" w:hAnsi="楷体" w:eastAsia="楷体" w:cs="宋体"/>
          <w:color w:val="000000"/>
          <w:kern w:val="0"/>
          <w:szCs w:val="21"/>
        </w:rPr>
      </w:pPr>
      <w:r>
        <w:rPr>
          <w:rFonts w:hint="eastAsia" w:ascii="楷体" w:hAnsi="楷体" w:eastAsia="楷体" w:cs="宋体"/>
          <w:color w:val="000000"/>
          <w:kern w:val="0"/>
          <w:szCs w:val="21"/>
        </w:rPr>
        <w:t>集中集体备课内容根据各教师教研课内容选定，时间一般为教研课前1-2周。参与教师要根据教研课内容进行深入的教材解读，执教者需有前期的自我解读初稿供大家参考，其余老师分享自己对相关内容的解读思考，提出备课建议，细化教学设计。</w:t>
      </w:r>
    </w:p>
    <w:p>
      <w:pPr>
        <w:spacing w:line="360" w:lineRule="auto"/>
        <w:ind w:firstLine="420" w:firstLineChars="200"/>
        <w:rPr>
          <w:rFonts w:ascii="楷体" w:hAnsi="楷体" w:eastAsia="楷体"/>
          <w:szCs w:val="21"/>
        </w:rPr>
      </w:pPr>
      <w:r>
        <w:rPr>
          <w:rFonts w:hint="eastAsia" w:ascii="楷体" w:hAnsi="楷体" w:eastAsia="楷体"/>
          <w:szCs w:val="21"/>
        </w:rPr>
        <w:t>2.作业</w:t>
      </w:r>
    </w:p>
    <w:p>
      <w:pPr>
        <w:spacing w:line="360" w:lineRule="auto"/>
        <w:ind w:firstLine="420" w:firstLineChars="200"/>
        <w:rPr>
          <w:rFonts w:ascii="楷体" w:hAnsi="楷体" w:eastAsia="楷体"/>
          <w:szCs w:val="21"/>
        </w:rPr>
      </w:pPr>
      <w:r>
        <w:rPr>
          <w:rFonts w:hint="eastAsia" w:ascii="楷体" w:hAnsi="楷体" w:eastAsia="楷体"/>
          <w:szCs w:val="21"/>
        </w:rPr>
        <w:t>（1）常规数学家作的布置要有针对性，严格控制家庭作业量，提升每日作业质量。</w:t>
      </w:r>
    </w:p>
    <w:p>
      <w:pPr>
        <w:spacing w:line="360" w:lineRule="auto"/>
        <w:ind w:firstLine="420" w:firstLineChars="200"/>
        <w:rPr>
          <w:rFonts w:hint="eastAsia" w:ascii="楷体" w:hAnsi="楷体" w:eastAsia="楷体"/>
          <w:szCs w:val="21"/>
        </w:rPr>
      </w:pPr>
      <w:r>
        <w:rPr>
          <w:rFonts w:hint="eastAsia" w:ascii="楷体" w:hAnsi="楷体" w:eastAsia="楷体"/>
          <w:szCs w:val="21"/>
        </w:rPr>
        <w:t>（2）除常规作业外，要适当适量设计、布置能激发学生兴趣、引发学生思考、提升学生能力的作业类型，如真实情境中的实际问题等。培养学生用数学的眼光看身边的世界、用数学的方法解决生活中的问题等意识和能力。</w:t>
      </w:r>
    </w:p>
    <w:p>
      <w:pPr>
        <w:spacing w:line="360" w:lineRule="auto"/>
        <w:ind w:firstLine="420" w:firstLineChars="200"/>
        <w:rPr>
          <w:rFonts w:ascii="楷体" w:hAnsi="楷体" w:eastAsia="楷体"/>
          <w:szCs w:val="21"/>
        </w:rPr>
      </w:pPr>
      <w:r>
        <w:rPr>
          <w:rFonts w:hint="eastAsia" w:ascii="楷体" w:hAnsi="楷体" w:eastAsia="楷体"/>
          <w:szCs w:val="21"/>
        </w:rPr>
        <w:t>（</w:t>
      </w:r>
      <w:r>
        <w:rPr>
          <w:rFonts w:ascii="楷体" w:hAnsi="楷体" w:eastAsia="楷体"/>
          <w:szCs w:val="21"/>
        </w:rPr>
        <w:t>3</w:t>
      </w:r>
      <w:r>
        <w:rPr>
          <w:rFonts w:hint="eastAsia" w:ascii="楷体" w:hAnsi="楷体" w:eastAsia="楷体"/>
          <w:szCs w:val="21"/>
        </w:rPr>
        <w:t>）关注个性化作业的设计，作业批改中尤其要关注对学生作业的评价，以此激发学生学习数学的兴趣和自信心。本学期将继续收集各年级个性化作业及学生资源，作为教研组的资料储备，也为各年级今后在作业设计上作参考。（鼓励创新）</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65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3" w:hRule="atLeast"/>
        </w:trPr>
        <w:tc>
          <w:tcPr>
            <w:tcW w:w="1843" w:type="dxa"/>
            <w:shd w:val="clear" w:color="auto" w:fill="auto"/>
            <w:vAlign w:val="center"/>
          </w:tcPr>
          <w:p>
            <w:pPr>
              <w:spacing w:line="360" w:lineRule="auto"/>
              <w:contextualSpacing/>
              <w:jc w:val="center"/>
              <w:rPr>
                <w:rFonts w:ascii="楷体" w:hAnsi="楷体" w:eastAsia="楷体"/>
                <w:szCs w:val="21"/>
              </w:rPr>
            </w:pPr>
            <w:r>
              <w:rPr>
                <w:rFonts w:hint="eastAsia" w:ascii="楷体" w:hAnsi="楷体" w:eastAsia="楷体"/>
                <w:szCs w:val="21"/>
              </w:rPr>
              <w:t>学生</w:t>
            </w:r>
          </w:p>
          <w:p>
            <w:pPr>
              <w:spacing w:line="360" w:lineRule="auto"/>
              <w:contextualSpacing/>
              <w:jc w:val="center"/>
              <w:rPr>
                <w:rFonts w:ascii="楷体" w:hAnsi="楷体" w:eastAsia="楷体"/>
                <w:szCs w:val="21"/>
              </w:rPr>
            </w:pPr>
            <w:r>
              <w:rPr>
                <w:rFonts w:hint="eastAsia" w:ascii="楷体" w:hAnsi="楷体" w:eastAsia="楷体"/>
                <w:szCs w:val="21"/>
              </w:rPr>
              <w:t>作业</w:t>
            </w:r>
          </w:p>
          <w:p>
            <w:pPr>
              <w:spacing w:line="360" w:lineRule="auto"/>
              <w:contextualSpacing/>
              <w:jc w:val="center"/>
              <w:rPr>
                <w:rFonts w:ascii="楷体" w:hAnsi="楷体" w:eastAsia="楷体"/>
                <w:szCs w:val="21"/>
              </w:rPr>
            </w:pPr>
            <w:r>
              <w:rPr>
                <w:rFonts w:hint="eastAsia" w:ascii="楷体" w:hAnsi="楷体" w:eastAsia="楷体"/>
                <w:szCs w:val="21"/>
              </w:rPr>
              <w:t>检查</w:t>
            </w:r>
          </w:p>
        </w:tc>
        <w:tc>
          <w:tcPr>
            <w:tcW w:w="6521" w:type="dxa"/>
            <w:shd w:val="clear" w:color="auto" w:fill="auto"/>
            <w:vAlign w:val="center"/>
          </w:tcPr>
          <w:p>
            <w:pPr>
              <w:spacing w:line="360" w:lineRule="auto"/>
              <w:contextualSpacing/>
              <w:rPr>
                <w:rFonts w:ascii="楷体" w:hAnsi="楷体" w:eastAsia="楷体"/>
                <w:szCs w:val="21"/>
              </w:rPr>
            </w:pPr>
            <w:r>
              <w:rPr>
                <w:rFonts w:ascii="楷体" w:hAnsi="楷体" w:eastAsia="楷体"/>
                <w:szCs w:val="21"/>
              </w:rPr>
              <w:t>检查方式与时间</w:t>
            </w:r>
            <w:r>
              <w:rPr>
                <w:rFonts w:hint="eastAsia" w:ascii="楷体" w:hAnsi="楷体" w:eastAsia="楷体"/>
                <w:szCs w:val="21"/>
              </w:rPr>
              <w:t>：</w:t>
            </w:r>
          </w:p>
          <w:p>
            <w:pPr>
              <w:spacing w:line="360" w:lineRule="auto"/>
              <w:ind w:firstLine="420" w:firstLineChars="200"/>
              <w:contextualSpacing/>
              <w:rPr>
                <w:rFonts w:ascii="楷体" w:hAnsi="楷体" w:eastAsia="楷体"/>
                <w:szCs w:val="21"/>
              </w:rPr>
            </w:pPr>
            <w:r>
              <w:rPr>
                <w:rFonts w:ascii="楷体" w:hAnsi="楷体" w:eastAsia="楷体"/>
                <w:szCs w:val="21"/>
              </w:rPr>
              <w:t>本学期将检查两次学生作业</w:t>
            </w:r>
            <w:r>
              <w:rPr>
                <w:rFonts w:hint="eastAsia" w:ascii="楷体" w:hAnsi="楷体" w:eastAsia="楷体"/>
                <w:szCs w:val="21"/>
              </w:rPr>
              <w:t>，时间定在期中与期末，一次为抽查、一次为整班检查。</w:t>
            </w:r>
          </w:p>
          <w:p>
            <w:pPr>
              <w:spacing w:line="360" w:lineRule="auto"/>
              <w:contextualSpacing/>
              <w:rPr>
                <w:rFonts w:ascii="楷体" w:hAnsi="楷体" w:eastAsia="楷体"/>
                <w:szCs w:val="21"/>
              </w:rPr>
            </w:pPr>
            <w:r>
              <w:rPr>
                <w:rFonts w:hint="eastAsia" w:ascii="楷体" w:hAnsi="楷体" w:eastAsia="楷体"/>
                <w:szCs w:val="21"/>
              </w:rPr>
              <w:t>检查作业类型：</w:t>
            </w:r>
          </w:p>
          <w:p>
            <w:pPr>
              <w:spacing w:line="360" w:lineRule="auto"/>
              <w:contextualSpacing/>
              <w:rPr>
                <w:rFonts w:ascii="楷体" w:hAnsi="楷体" w:eastAsia="楷体"/>
                <w:szCs w:val="21"/>
              </w:rPr>
            </w:pPr>
            <w:r>
              <w:rPr>
                <w:rFonts w:hint="eastAsia" w:ascii="楷体" w:hAnsi="楷体" w:eastAsia="楷体"/>
                <w:szCs w:val="21"/>
              </w:rPr>
              <w:t>一、二：数学书、数补、课堂作业、若干份个性化作业；</w:t>
            </w:r>
          </w:p>
          <w:p>
            <w:pPr>
              <w:spacing w:line="360" w:lineRule="auto"/>
              <w:contextualSpacing/>
              <w:rPr>
                <w:rFonts w:hint="eastAsia" w:ascii="楷体" w:hAnsi="楷体" w:eastAsia="楷体"/>
                <w:szCs w:val="21"/>
              </w:rPr>
            </w:pPr>
            <w:r>
              <w:rPr>
                <w:rFonts w:ascii="楷体" w:hAnsi="楷体" w:eastAsia="楷体"/>
                <w:szCs w:val="21"/>
              </w:rPr>
              <w:t>三</w:t>
            </w:r>
            <w:r>
              <w:rPr>
                <w:rFonts w:hint="eastAsia" w:ascii="楷体" w:hAnsi="楷体" w:eastAsia="楷体"/>
                <w:szCs w:val="21"/>
              </w:rPr>
              <w:t>~</w:t>
            </w:r>
            <w:r>
              <w:rPr>
                <w:rFonts w:ascii="楷体" w:hAnsi="楷体" w:eastAsia="楷体"/>
                <w:szCs w:val="21"/>
              </w:rPr>
              <w:t>六</w:t>
            </w:r>
            <w:r>
              <w:rPr>
                <w:rFonts w:hint="eastAsia" w:ascii="楷体" w:hAnsi="楷体" w:eastAsia="楷体"/>
                <w:szCs w:val="21"/>
              </w:rPr>
              <w:t>：</w:t>
            </w:r>
            <w:r>
              <w:rPr>
                <w:rFonts w:ascii="楷体" w:hAnsi="楷体" w:eastAsia="楷体"/>
                <w:szCs w:val="21"/>
              </w:rPr>
              <w:t>数补</w:t>
            </w:r>
            <w:r>
              <w:rPr>
                <w:rFonts w:hint="eastAsia" w:ascii="楷体" w:hAnsi="楷体" w:eastAsia="楷体"/>
                <w:szCs w:val="21"/>
              </w:rPr>
              <w:t>、</w:t>
            </w:r>
            <w:r>
              <w:rPr>
                <w:rFonts w:ascii="楷体" w:hAnsi="楷体" w:eastAsia="楷体"/>
                <w:szCs w:val="21"/>
              </w:rPr>
              <w:t>练习与测试</w:t>
            </w:r>
            <w:r>
              <w:rPr>
                <w:rFonts w:hint="eastAsia" w:ascii="楷体" w:hAnsi="楷体" w:eastAsia="楷体"/>
                <w:szCs w:val="21"/>
              </w:rPr>
              <w:t>、</w:t>
            </w:r>
            <w:r>
              <w:rPr>
                <w:rFonts w:ascii="楷体" w:hAnsi="楷体" w:eastAsia="楷体"/>
                <w:szCs w:val="21"/>
              </w:rPr>
              <w:t>课堂作业</w:t>
            </w:r>
            <w:r>
              <w:rPr>
                <w:rFonts w:hint="eastAsia" w:ascii="楷体" w:hAnsi="楷体" w:eastAsia="楷体"/>
                <w:szCs w:val="21"/>
              </w:rPr>
              <w:t>、</w:t>
            </w:r>
            <w:r>
              <w:rPr>
                <w:rFonts w:ascii="楷体" w:hAnsi="楷体" w:eastAsia="楷体"/>
                <w:szCs w:val="21"/>
              </w:rPr>
              <w:t>若干份个性化作业</w:t>
            </w:r>
            <w:r>
              <w:rPr>
                <w:rFonts w:hint="eastAsia" w:ascii="楷体" w:hAnsi="楷体" w:eastAsia="楷体"/>
                <w:szCs w:val="21"/>
              </w:rPr>
              <w:t>。</w:t>
            </w:r>
          </w:p>
        </w:tc>
      </w:tr>
    </w:tbl>
    <w:p>
      <w:pPr>
        <w:spacing w:line="360" w:lineRule="auto"/>
        <w:ind w:firstLine="420"/>
        <w:rPr>
          <w:rFonts w:ascii="楷体" w:hAnsi="楷体" w:eastAsia="楷体"/>
          <w:szCs w:val="21"/>
        </w:rPr>
      </w:pPr>
      <w:r>
        <w:rPr>
          <w:rFonts w:hint="eastAsia" w:ascii="楷体" w:hAnsi="楷体" w:eastAsia="楷体"/>
          <w:szCs w:val="21"/>
        </w:rPr>
        <w:t>（二）主题教研</w:t>
      </w:r>
    </w:p>
    <w:tbl>
      <w:tblPr>
        <w:tblStyle w:val="6"/>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6"/>
        <w:gridCol w:w="7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8364" w:type="dxa"/>
            <w:gridSpan w:val="2"/>
          </w:tcPr>
          <w:p>
            <w:pPr>
              <w:spacing w:line="360" w:lineRule="auto"/>
              <w:rPr>
                <w:rFonts w:ascii="楷体" w:hAnsi="楷体" w:eastAsia="楷体"/>
                <w:szCs w:val="21"/>
              </w:rPr>
            </w:pPr>
            <w:r>
              <w:rPr>
                <w:rFonts w:hint="eastAsia" w:ascii="楷体" w:hAnsi="楷体" w:eastAsia="楷体"/>
                <w:szCs w:val="21"/>
              </w:rPr>
              <w:t>教研主题：基于</w:t>
            </w:r>
            <w:r>
              <w:rPr>
                <w:rFonts w:hint="eastAsia" w:ascii="楷体" w:hAnsi="楷体" w:eastAsia="楷体"/>
                <w:szCs w:val="21"/>
                <w:lang w:eastAsia="zh-CN"/>
              </w:rPr>
              <w:t>“</w:t>
            </w:r>
            <w:r>
              <w:rPr>
                <w:rFonts w:hint="eastAsia" w:ascii="楷体" w:hAnsi="楷体" w:eastAsia="楷体"/>
                <w:szCs w:val="21"/>
                <w:lang w:val="en-US" w:eastAsia="zh-CN"/>
              </w:rPr>
              <w:t>图形与几何</w:t>
            </w:r>
            <w:r>
              <w:rPr>
                <w:rFonts w:hint="eastAsia" w:ascii="楷体" w:hAnsi="楷体" w:eastAsia="楷体"/>
                <w:szCs w:val="21"/>
                <w:lang w:eastAsia="zh-CN"/>
              </w:rPr>
              <w:t>”</w:t>
            </w:r>
            <w:r>
              <w:rPr>
                <w:rFonts w:hint="eastAsia" w:ascii="楷体" w:hAnsi="楷体" w:eastAsia="楷体"/>
                <w:szCs w:val="21"/>
                <w:lang w:val="en-US" w:eastAsia="zh-CN"/>
              </w:rPr>
              <w:t>主题</w:t>
            </w:r>
            <w:r>
              <w:rPr>
                <w:rFonts w:hint="eastAsia" w:ascii="楷体" w:hAnsi="楷体" w:eastAsia="楷体"/>
                <w:szCs w:val="21"/>
              </w:rPr>
              <w:t>的</w:t>
            </w:r>
            <w:r>
              <w:rPr>
                <w:rFonts w:hint="eastAsia" w:ascii="楷体" w:hAnsi="楷体" w:eastAsia="楷体" w:cs="楷体"/>
                <w:bCs/>
                <w:color w:val="000000"/>
                <w:szCs w:val="21"/>
              </w:rPr>
              <w:t>典型课例研究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1276" w:type="dxa"/>
            <w:vAlign w:val="center"/>
          </w:tcPr>
          <w:p>
            <w:pPr>
              <w:spacing w:line="360" w:lineRule="auto"/>
              <w:jc w:val="center"/>
              <w:rPr>
                <w:rFonts w:ascii="楷体" w:hAnsi="楷体" w:eastAsia="楷体"/>
                <w:szCs w:val="21"/>
              </w:rPr>
            </w:pPr>
            <w:r>
              <w:rPr>
                <w:rFonts w:hint="eastAsia" w:ascii="楷体" w:hAnsi="楷体" w:eastAsia="楷体"/>
                <w:szCs w:val="21"/>
              </w:rPr>
              <w:t>活动形式</w:t>
            </w:r>
          </w:p>
        </w:tc>
        <w:tc>
          <w:tcPr>
            <w:tcW w:w="7088" w:type="dxa"/>
            <w:vAlign w:val="center"/>
          </w:tcPr>
          <w:p>
            <w:pPr>
              <w:spacing w:line="360" w:lineRule="auto"/>
              <w:jc w:val="center"/>
              <w:rPr>
                <w:rFonts w:ascii="楷体" w:hAnsi="楷体" w:eastAsia="楷体"/>
                <w:szCs w:val="21"/>
              </w:rPr>
            </w:pPr>
            <w:r>
              <w:rPr>
                <w:rFonts w:hint="eastAsia" w:ascii="楷体" w:hAnsi="楷体" w:eastAsia="楷体"/>
                <w:szCs w:val="21"/>
              </w:rPr>
              <w:t>具体安排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276" w:type="dxa"/>
            <w:vAlign w:val="center"/>
          </w:tcPr>
          <w:p>
            <w:pPr>
              <w:spacing w:line="360" w:lineRule="auto"/>
              <w:jc w:val="center"/>
              <w:rPr>
                <w:rFonts w:ascii="楷体" w:hAnsi="楷体" w:eastAsia="楷体"/>
                <w:szCs w:val="21"/>
              </w:rPr>
            </w:pPr>
            <w:r>
              <w:rPr>
                <w:rFonts w:hint="eastAsia" w:ascii="楷体" w:hAnsi="楷体" w:eastAsia="楷体"/>
                <w:szCs w:val="21"/>
              </w:rPr>
              <w:t>教研课</w:t>
            </w:r>
          </w:p>
        </w:tc>
        <w:tc>
          <w:tcPr>
            <w:tcW w:w="7088" w:type="dxa"/>
            <w:vAlign w:val="center"/>
          </w:tcPr>
          <w:p>
            <w:pPr>
              <w:spacing w:line="360" w:lineRule="auto"/>
              <w:ind w:firstLine="482"/>
              <w:rPr>
                <w:rFonts w:ascii="楷体" w:hAnsi="楷体" w:eastAsia="楷体" w:cs="宋体"/>
                <w:color w:val="000000"/>
                <w:kern w:val="0"/>
                <w:szCs w:val="21"/>
              </w:rPr>
            </w:pPr>
            <w:r>
              <w:rPr>
                <w:rFonts w:hint="eastAsia" w:ascii="楷体" w:hAnsi="楷体" w:eastAsia="楷体" w:cs="宋体"/>
                <w:color w:val="000000"/>
                <w:kern w:val="0"/>
                <w:szCs w:val="21"/>
              </w:rPr>
              <w:t>继续开展每</w:t>
            </w:r>
            <w:r>
              <w:rPr>
                <w:rFonts w:hint="eastAsia" w:ascii="楷体" w:hAnsi="楷体" w:eastAsia="楷体" w:cs="宋体"/>
                <w:color w:val="000000"/>
                <w:kern w:val="0"/>
                <w:szCs w:val="21"/>
                <w:lang w:val="en-US" w:eastAsia="zh-CN"/>
              </w:rPr>
              <w:t>两周一次数学教研</w:t>
            </w:r>
            <w:r>
              <w:rPr>
                <w:rFonts w:hint="eastAsia" w:ascii="楷体" w:hAnsi="楷体" w:eastAsia="楷体" w:cs="宋体"/>
                <w:color w:val="000000"/>
                <w:kern w:val="0"/>
                <w:szCs w:val="21"/>
              </w:rPr>
              <w:t>、评课的研讨活动并落到实处，共同研究，共同成长。要求提前一周试教，同年段老师必须同时参与，并给予重设建议。每次教研课之后执教者进行反思性分享：从“教材解读情况、教学目标制定依据、几次试教所欲困难及相应改进措施、最终执教与预期效果差距的成因”四方面展开反思。听课者进行聚焦式评课：聚焦教研主题展开互动式评课，肯定亮点、商榷困惑、重设改进。针对不同年龄段教师，评课时还应关注以下几点：（1）关注5年内青年教师对于课堂生成的处理方式，避免一味执行教案忽略学生。（2）关注40周岁以下教师的的课堂互动形式，评价方式。</w:t>
            </w:r>
          </w:p>
          <w:p>
            <w:pPr>
              <w:spacing w:line="360" w:lineRule="auto"/>
              <w:rPr>
                <w:rFonts w:ascii="楷体" w:hAnsi="楷体" w:eastAsia="楷体" w:cs="Menlo Bold"/>
                <w:szCs w:val="21"/>
              </w:rPr>
            </w:pPr>
            <w:r>
              <w:rPr>
                <w:rFonts w:hint="eastAsia" w:ascii="楷体" w:hAnsi="楷体" w:eastAsia="楷体"/>
                <w:szCs w:val="21"/>
              </w:rPr>
              <mc:AlternateContent>
                <mc:Choice Requires="wps">
                  <w:drawing>
                    <wp:anchor distT="0" distB="0" distL="114300" distR="114300" simplePos="0" relativeHeight="251662336" behindDoc="0" locked="0" layoutInCell="1" allowOverlap="1">
                      <wp:simplePos x="0" y="0"/>
                      <wp:positionH relativeFrom="column">
                        <wp:posOffset>4187190</wp:posOffset>
                      </wp:positionH>
                      <wp:positionV relativeFrom="paragraph">
                        <wp:posOffset>92710</wp:posOffset>
                      </wp:positionV>
                      <wp:extent cx="200025" cy="99060"/>
                      <wp:effectExtent l="0" t="0" r="3175" b="2540"/>
                      <wp:wrapNone/>
                      <wp:docPr id="14" name="右箭头 14"/>
                      <wp:cNvGraphicFramePr/>
                      <a:graphic xmlns:a="http://schemas.openxmlformats.org/drawingml/2006/main">
                        <a:graphicData uri="http://schemas.microsoft.com/office/word/2010/wordprocessingShape">
                          <wps:wsp>
                            <wps:cNvSpPr/>
                            <wps:spPr>
                              <a:xfrm>
                                <a:off x="0" y="0"/>
                                <a:ext cx="200025" cy="99060"/>
                              </a:xfrm>
                              <a:prstGeom prst="rightArrow">
                                <a:avLst/>
                              </a:prstGeom>
                              <a:solidFill>
                                <a:schemeClr val="tx1"/>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329.7pt;margin-top:7.3pt;height:7.8pt;width:15.75pt;z-index:251662336;v-text-anchor:middle;mso-width-relative:page;mso-height-relative:page;" fillcolor="#000000 [3213]" filled="t" stroked="f" coordsize="21600,21600" o:gfxdata="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E5Cdd3ZAAAACQEAAA8AAAAAAAAAAQAgAAAAIgAAAGRycy9kb3du&#10;cmV2LnhtbFBLAQIUABQAAAAIAIdO4kCdRZ8LcAIAANMEAAAOAAAAAAAAAAEAIAAAACgBAABkcnMv&#10;ZTJvRG9jLnhtbFBLBQYAAAAABgAGAFkBAAAKBgAAAAA=&#10;" adj="16252,5400">
                      <v:fill on="t" focussize="0,0"/>
                      <v:stroke on="f" weight="0.5pt" miterlimit="8" joinstyle="miter"/>
                      <v:imagedata o:title=""/>
                      <o:lock v:ext="edit" aspectratio="f"/>
                    </v:shape>
                  </w:pict>
                </mc:Fallback>
              </mc:AlternateContent>
            </w:r>
            <w:r>
              <w:rPr>
                <w:rFonts w:hint="eastAsia" w:ascii="楷体" w:hAnsi="楷体" w:eastAsia="楷体"/>
                <w:szCs w:val="21"/>
              </w:rPr>
              <mc:AlternateContent>
                <mc:Choice Requires="wps">
                  <w:drawing>
                    <wp:anchor distT="0" distB="0" distL="114300" distR="114300" simplePos="0" relativeHeight="251661312" behindDoc="0" locked="0" layoutInCell="1" allowOverlap="1">
                      <wp:simplePos x="0" y="0"/>
                      <wp:positionH relativeFrom="column">
                        <wp:posOffset>3645535</wp:posOffset>
                      </wp:positionH>
                      <wp:positionV relativeFrom="paragraph">
                        <wp:posOffset>97790</wp:posOffset>
                      </wp:positionV>
                      <wp:extent cx="200025" cy="99060"/>
                      <wp:effectExtent l="0" t="0" r="3175" b="2540"/>
                      <wp:wrapNone/>
                      <wp:docPr id="13" name="右箭头 13"/>
                      <wp:cNvGraphicFramePr/>
                      <a:graphic xmlns:a="http://schemas.openxmlformats.org/drawingml/2006/main">
                        <a:graphicData uri="http://schemas.microsoft.com/office/word/2010/wordprocessingShape">
                          <wps:wsp>
                            <wps:cNvSpPr/>
                            <wps:spPr>
                              <a:xfrm>
                                <a:off x="0" y="0"/>
                                <a:ext cx="200025" cy="99060"/>
                              </a:xfrm>
                              <a:prstGeom prst="rightArrow">
                                <a:avLst/>
                              </a:prstGeom>
                              <a:solidFill>
                                <a:schemeClr val="tx1"/>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287.05pt;margin-top:7.7pt;height:7.8pt;width:15.75pt;z-index:251661312;v-text-anchor:middle;mso-width-relative:page;mso-height-relative:page;" fillcolor="#000000 [3213]" filled="t" stroked="f" coordsize="21600,21600" o:gfxdata="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" adj="16252,5400">
                      <v:fill on="t" focussize="0,0"/>
                      <v:stroke on="f" weight="0.5pt" miterlimit="8" joinstyle="miter"/>
                      <v:imagedata o:title=""/>
                      <o:lock v:ext="edit" aspectratio="f"/>
                    </v:shape>
                  </w:pict>
                </mc:Fallback>
              </mc:AlternateContent>
            </w:r>
            <w:r>
              <w:rPr>
                <w:rFonts w:hint="eastAsia" w:ascii="楷体" w:hAnsi="楷体" w:eastAsia="楷体"/>
                <w:szCs w:val="21"/>
              </w:rPr>
              <mc:AlternateContent>
                <mc:Choice Requires="wps">
                  <w:drawing>
                    <wp:anchor distT="0" distB="0" distL="114300" distR="114300" simplePos="0" relativeHeight="251660288" behindDoc="0" locked="0" layoutInCell="1" allowOverlap="1">
                      <wp:simplePos x="0" y="0"/>
                      <wp:positionH relativeFrom="column">
                        <wp:posOffset>2715895</wp:posOffset>
                      </wp:positionH>
                      <wp:positionV relativeFrom="paragraph">
                        <wp:posOffset>97790</wp:posOffset>
                      </wp:positionV>
                      <wp:extent cx="200025" cy="99060"/>
                      <wp:effectExtent l="0" t="0" r="3175" b="2540"/>
                      <wp:wrapNone/>
                      <wp:docPr id="12" name="右箭头 12"/>
                      <wp:cNvGraphicFramePr/>
                      <a:graphic xmlns:a="http://schemas.openxmlformats.org/drawingml/2006/main">
                        <a:graphicData uri="http://schemas.microsoft.com/office/word/2010/wordprocessingShape">
                          <wps:wsp>
                            <wps:cNvSpPr/>
                            <wps:spPr>
                              <a:xfrm>
                                <a:off x="0" y="0"/>
                                <a:ext cx="200025" cy="99060"/>
                              </a:xfrm>
                              <a:prstGeom prst="rightArrow">
                                <a:avLst/>
                              </a:prstGeom>
                              <a:solidFill>
                                <a:schemeClr val="tx1"/>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213.85pt;margin-top:7.7pt;height:7.8pt;width:15.75pt;z-index:251660288;v-text-anchor:middle;mso-width-relative:page;mso-height-relative:page;" fillcolor="#000000 [3213]" filled="t" stroked="f" coordsize="21600,21600" o:gfxdata="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" adj="16252,5400">
                      <v:fill on="t" focussize="0,0"/>
                      <v:stroke on="f" weight="0.5pt" miterlimit="8" joinstyle="miter"/>
                      <v:imagedata o:title=""/>
                      <o:lock v:ext="edit" aspectratio="f"/>
                    </v:shape>
                  </w:pict>
                </mc:Fallback>
              </mc:AlternateContent>
            </w:r>
            <w:r>
              <w:rPr>
                <w:rFonts w:hint="eastAsia" w:ascii="楷体" w:hAnsi="楷体" w:eastAsia="楷体"/>
                <w:szCs w:val="21"/>
              </w:rPr>
              <mc:AlternateContent>
                <mc:Choice Requires="wps">
                  <w:drawing>
                    <wp:anchor distT="0" distB="0" distL="114300" distR="114300" simplePos="0" relativeHeight="251659264" behindDoc="0" locked="0" layoutInCell="1" allowOverlap="1">
                      <wp:simplePos x="0" y="0"/>
                      <wp:positionH relativeFrom="column">
                        <wp:posOffset>1488440</wp:posOffset>
                      </wp:positionH>
                      <wp:positionV relativeFrom="paragraph">
                        <wp:posOffset>92710</wp:posOffset>
                      </wp:positionV>
                      <wp:extent cx="200025" cy="99060"/>
                      <wp:effectExtent l="0" t="0" r="3175" b="2540"/>
                      <wp:wrapNone/>
                      <wp:docPr id="11" name="右箭头 11"/>
                      <wp:cNvGraphicFramePr/>
                      <a:graphic xmlns:a="http://schemas.openxmlformats.org/drawingml/2006/main">
                        <a:graphicData uri="http://schemas.microsoft.com/office/word/2010/wordprocessingShape">
                          <wps:wsp>
                            <wps:cNvSpPr/>
                            <wps:spPr>
                              <a:xfrm>
                                <a:off x="0" y="0"/>
                                <a:ext cx="200025" cy="99060"/>
                              </a:xfrm>
                              <a:prstGeom prst="rightArrow">
                                <a:avLst/>
                              </a:prstGeom>
                              <a:solidFill>
                                <a:schemeClr val="tx1"/>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117.2pt;margin-top:7.3pt;height:7.8pt;width:15.75pt;z-index:251659264;v-text-anchor:middle;mso-width-relative:page;mso-height-relative:page;" fillcolor="#000000 [3213]" filled="t" stroked="f" coordsize="21600,21600" o:gfxdata="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AAAAAZHJz&#10;L1BLAQIUABQAAAAIAIdO4kD+rcSO2QAAAAkBAAAPAAAAAAAAAAEAIAAAACIAAABkcnMvZG93bnJl&#10;di54bWxQSwECFAAUAAAACACHTuJA5uqNOm4CAADTBAAADgAAAAAAAAABACAAAAAoAQAAZHJzL2Uy&#10;b0RvYy54bWxQSwUGAAAAAAYABgBZAQAACAYAAAAA&#10;" adj="16252,5400">
                      <v:fill on="t" focussize="0,0"/>
                      <v:stroke on="f" weight="0.5pt" miterlimit="8" joinstyle="miter"/>
                      <v:imagedata o:title=""/>
                      <o:lock v:ext="edit" aspectratio="f"/>
                    </v:shape>
                  </w:pict>
                </mc:Fallback>
              </mc:AlternateContent>
            </w:r>
            <w:r>
              <w:rPr>
                <w:rFonts w:hint="eastAsia" w:ascii="楷体" w:hAnsi="楷体" w:eastAsia="楷体"/>
                <w:szCs w:val="21"/>
              </w:rPr>
              <w:t>活动流程：提前一周试教    执教者上教研课</w:t>
            </w:r>
            <w:r>
              <w:rPr>
                <w:rFonts w:ascii="楷体" w:hAnsi="楷体" w:eastAsia="楷体" w:cs="Menlo Bold"/>
                <w:szCs w:val="21"/>
              </w:rPr>
              <w:t xml:space="preserve">   </w:t>
            </w:r>
            <w:r>
              <w:rPr>
                <w:rFonts w:hint="eastAsia" w:ascii="楷体" w:hAnsi="楷体" w:eastAsia="楷体" w:cs="Menlo Bold"/>
                <w:szCs w:val="21"/>
              </w:rPr>
              <w:t xml:space="preserve"> </w:t>
            </w:r>
            <w:r>
              <w:rPr>
                <w:rFonts w:hint="eastAsia" w:ascii="楷体" w:hAnsi="楷体" w:eastAsia="楷体" w:cs="Menlo Regular"/>
                <w:szCs w:val="21"/>
              </w:rPr>
              <w:t>执教者反思</w:t>
            </w:r>
            <w:r>
              <w:rPr>
                <w:rFonts w:ascii="楷体" w:hAnsi="楷体" w:eastAsia="楷体" w:cs="Menlo Bold"/>
                <w:szCs w:val="21"/>
              </w:rPr>
              <w:t xml:space="preserve">  </w:t>
            </w:r>
            <w:r>
              <w:rPr>
                <w:rFonts w:hint="eastAsia" w:ascii="楷体" w:hAnsi="楷体" w:eastAsia="楷体" w:cs="Menlo Bold"/>
                <w:szCs w:val="21"/>
              </w:rPr>
              <w:t xml:space="preserve">  </w:t>
            </w:r>
            <w:r>
              <w:rPr>
                <w:rFonts w:hint="eastAsia" w:ascii="楷体" w:hAnsi="楷体" w:eastAsia="楷体"/>
                <w:szCs w:val="21"/>
              </w:rPr>
              <w:t>评课</w:t>
            </w:r>
            <w:r>
              <w:rPr>
                <w:rFonts w:ascii="楷体" w:hAnsi="楷体" w:eastAsia="楷体" w:cs="Menlo Bold"/>
                <w:szCs w:val="21"/>
              </w:rPr>
              <w:t xml:space="preserve">   </w:t>
            </w:r>
            <w:r>
              <w:rPr>
                <w:rFonts w:hint="eastAsia" w:ascii="楷体" w:hAnsi="楷体" w:eastAsia="楷体" w:cs="Menlo Bold"/>
                <w:szCs w:val="21"/>
              </w:rPr>
              <w:t xml:space="preserve">     </w:t>
            </w:r>
          </w:p>
          <w:p>
            <w:pPr>
              <w:spacing w:line="360" w:lineRule="auto"/>
              <w:rPr>
                <w:rFonts w:ascii="楷体" w:hAnsi="楷体" w:eastAsia="楷体"/>
                <w:szCs w:val="21"/>
              </w:rPr>
            </w:pPr>
            <w:r>
              <w:rPr>
                <w:rFonts w:hint="eastAsia" w:ascii="楷体" w:hAnsi="楷体" w:eastAsia="楷体" w:cs="Menlo Regular"/>
                <w:szCs w:val="21"/>
              </w:rPr>
              <w:t>青年教师培训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6" w:hRule="atLeast"/>
        </w:trPr>
        <w:tc>
          <w:tcPr>
            <w:tcW w:w="1276" w:type="dxa"/>
            <w:vAlign w:val="center"/>
          </w:tcPr>
          <w:p>
            <w:pPr>
              <w:spacing w:line="360" w:lineRule="auto"/>
              <w:jc w:val="center"/>
              <w:rPr>
                <w:rFonts w:ascii="楷体" w:hAnsi="楷体" w:eastAsia="楷体"/>
                <w:szCs w:val="21"/>
              </w:rPr>
            </w:pPr>
            <w:r>
              <w:rPr>
                <w:rFonts w:hint="eastAsia" w:ascii="楷体" w:hAnsi="楷体" w:eastAsia="楷体"/>
                <w:szCs w:val="21"/>
              </w:rPr>
              <w:t>主题研讨分享</w:t>
            </w:r>
          </w:p>
        </w:tc>
        <w:tc>
          <w:tcPr>
            <w:tcW w:w="7088" w:type="dxa"/>
            <w:vAlign w:val="center"/>
          </w:tcPr>
          <w:p>
            <w:pPr>
              <w:tabs>
                <w:tab w:val="left" w:pos="2232"/>
              </w:tabs>
              <w:spacing w:line="300" w:lineRule="auto"/>
              <w:rPr>
                <w:rFonts w:hint="default" w:ascii="楷体" w:hAnsi="楷体" w:eastAsia="楷体" w:cs="宋体"/>
                <w:color w:val="000000"/>
                <w:kern w:val="0"/>
                <w:sz w:val="21"/>
                <w:szCs w:val="21"/>
                <w:lang w:val="en-US" w:eastAsia="zh-CN"/>
              </w:rPr>
            </w:pPr>
            <w:r>
              <w:rPr>
                <w:rFonts w:hint="eastAsia" w:ascii="楷体" w:hAnsi="楷体" w:eastAsia="楷体" w:cs="宋体"/>
                <w:color w:val="000000"/>
                <w:kern w:val="0"/>
                <w:sz w:val="21"/>
                <w:szCs w:val="21"/>
              </w:rPr>
              <w:t>为提升组内数学教师的学科素养，紧跟新教学研究的步伐。本学期开展分享型主题研讨方式。主要内容分为</w:t>
            </w:r>
            <w:r>
              <w:rPr>
                <w:rFonts w:hint="eastAsia" w:ascii="楷体" w:hAnsi="楷体" w:eastAsia="楷体" w:cs="宋体"/>
                <w:color w:val="000000"/>
                <w:kern w:val="0"/>
                <w:sz w:val="21"/>
                <w:szCs w:val="21"/>
                <w:lang w:val="en-US" w:eastAsia="zh-CN"/>
              </w:rPr>
              <w:t>二</w:t>
            </w:r>
            <w:r>
              <w:rPr>
                <w:rFonts w:hint="eastAsia" w:ascii="楷体" w:hAnsi="楷体" w:eastAsia="楷体" w:cs="宋体"/>
                <w:color w:val="000000"/>
                <w:kern w:val="0"/>
                <w:sz w:val="21"/>
                <w:szCs w:val="21"/>
              </w:rPr>
              <w:t>类：一类是；研读2</w:t>
            </w:r>
            <w:r>
              <w:rPr>
                <w:rFonts w:ascii="楷体" w:hAnsi="楷体" w:eastAsia="楷体" w:cs="宋体"/>
                <w:color w:val="000000"/>
                <w:kern w:val="0"/>
                <w:sz w:val="21"/>
                <w:szCs w:val="21"/>
              </w:rPr>
              <w:t>022版</w:t>
            </w:r>
            <w:r>
              <w:rPr>
                <w:rFonts w:hint="eastAsia" w:ascii="楷体" w:hAnsi="楷体" w:eastAsia="楷体" w:cs="宋体"/>
                <w:color w:val="000000"/>
                <w:kern w:val="0"/>
                <w:sz w:val="21"/>
                <w:szCs w:val="21"/>
              </w:rPr>
              <w:t>新课标，集中备课，研读教材；一类是小学生数学</w:t>
            </w:r>
            <w:r>
              <w:rPr>
                <w:rFonts w:hint="eastAsia" w:ascii="楷体" w:hAnsi="楷体" w:eastAsia="楷体" w:cs="宋体"/>
                <w:color w:val="000000"/>
                <w:kern w:val="0"/>
                <w:sz w:val="21"/>
                <w:szCs w:val="21"/>
                <w:lang w:val="en-US" w:eastAsia="zh-CN"/>
              </w:rPr>
              <w:t>空间观念</w:t>
            </w:r>
            <w:r>
              <w:rPr>
                <w:rFonts w:hint="eastAsia" w:ascii="楷体" w:hAnsi="楷体" w:eastAsia="楷体" w:cs="宋体"/>
                <w:color w:val="000000"/>
                <w:kern w:val="0"/>
                <w:sz w:val="21"/>
                <w:szCs w:val="21"/>
              </w:rPr>
              <w:t>培养的策略研究</w:t>
            </w:r>
            <w:r>
              <w:rPr>
                <w:rFonts w:hint="eastAsia" w:ascii="楷体" w:hAnsi="楷体" w:eastAsia="楷体" w:cs="宋体"/>
                <w:color w:val="000000"/>
                <w:kern w:val="0"/>
                <w:sz w:val="21"/>
                <w:szCs w:val="21"/>
                <w:lang w:eastAsia="zh-CN"/>
              </w:rPr>
              <w:t>；</w:t>
            </w:r>
            <w:r>
              <w:rPr>
                <w:rFonts w:hint="eastAsia" w:ascii="楷体" w:hAnsi="楷体" w:eastAsia="楷体" w:cs="宋体"/>
                <w:color w:val="000000"/>
                <w:kern w:val="0"/>
                <w:sz w:val="21"/>
                <w:szCs w:val="21"/>
                <w:lang w:val="en-US" w:eastAsia="zh-CN"/>
              </w:rPr>
              <w:t>一类是量感培养的策略研究</w:t>
            </w:r>
          </w:p>
        </w:tc>
      </w:tr>
    </w:tbl>
    <w:p>
      <w:pPr>
        <w:spacing w:line="360" w:lineRule="auto"/>
        <w:ind w:firstLine="420"/>
        <w:rPr>
          <w:rFonts w:ascii="楷体" w:hAnsi="楷体" w:eastAsia="楷体"/>
          <w:szCs w:val="21"/>
        </w:rPr>
      </w:pPr>
      <w:r>
        <w:rPr>
          <w:rFonts w:hint="eastAsia" w:ascii="楷体" w:hAnsi="楷体" w:eastAsia="楷体"/>
          <w:szCs w:val="21"/>
        </w:rPr>
        <w:t>（三）青年教师培训</w:t>
      </w:r>
    </w:p>
    <w:p>
      <w:pPr>
        <w:spacing w:line="360" w:lineRule="auto"/>
        <w:ind w:firstLine="420"/>
        <w:rPr>
          <w:rFonts w:ascii="楷体_GB2312" w:hAnsi="宋体" w:eastAsia="楷体_GB2312" w:cs="宋体"/>
          <w:color w:val="000000"/>
          <w:kern w:val="0"/>
          <w:szCs w:val="21"/>
        </w:rPr>
      </w:pPr>
      <w:r>
        <w:rPr>
          <w:rFonts w:hint="eastAsia" w:ascii="楷体" w:hAnsi="楷体" w:eastAsia="楷体"/>
          <w:szCs w:val="21"/>
        </w:rPr>
        <w:t>1.</w:t>
      </w:r>
      <w:r>
        <w:rPr>
          <w:rFonts w:hint="eastAsia" w:ascii="楷体_GB2312" w:hAnsi="宋体" w:eastAsia="楷体_GB2312" w:cs="宋体"/>
          <w:color w:val="000000"/>
          <w:kern w:val="0"/>
          <w:szCs w:val="21"/>
        </w:rPr>
        <w:t>加强五年内青年教师教学常规的指导工作。通过听随堂课、查备课、查学生作业等形式及时了解青年教师执行教学常规的情况，做到务实高效。五年内新教师每周除教研课外至少听两节课并详细记录师生问答，自选一节进行主题式评课并成稿。</w:t>
      </w:r>
    </w:p>
    <w:p>
      <w:pPr>
        <w:spacing w:line="360" w:lineRule="auto"/>
        <w:ind w:firstLine="420"/>
        <w:rPr>
          <w:rFonts w:hint="eastAsia" w:ascii="楷体" w:hAnsi="楷体" w:eastAsia="楷体"/>
          <w:szCs w:val="21"/>
        </w:rPr>
      </w:pPr>
      <w:r>
        <w:rPr>
          <w:rFonts w:hint="eastAsia" w:ascii="楷体" w:hAnsi="楷体" w:eastAsia="楷体"/>
          <w:szCs w:val="21"/>
        </w:rPr>
        <w:t>2.</w:t>
      </w:r>
      <w:r>
        <w:rPr>
          <w:rFonts w:ascii="楷体" w:hAnsi="楷体" w:eastAsia="楷体"/>
          <w:szCs w:val="21"/>
        </w:rPr>
        <w:t>加强理论学习</w:t>
      </w:r>
      <w:r>
        <w:rPr>
          <w:rFonts w:hint="eastAsia" w:ascii="楷体" w:hAnsi="楷体" w:eastAsia="楷体"/>
          <w:szCs w:val="21"/>
        </w:rPr>
        <w:t>，</w:t>
      </w:r>
      <w:r>
        <w:rPr>
          <w:rFonts w:ascii="楷体" w:hAnsi="楷体" w:eastAsia="楷体"/>
          <w:szCs w:val="21"/>
        </w:rPr>
        <w:t>组内轮流分享文摘卡</w:t>
      </w:r>
      <w:r>
        <w:rPr>
          <w:rFonts w:hint="eastAsia" w:ascii="楷体" w:hAnsi="楷体" w:eastAsia="楷体"/>
          <w:szCs w:val="21"/>
        </w:rPr>
        <w:t>。</w:t>
      </w:r>
    </w:p>
    <w:p>
      <w:pPr>
        <w:spacing w:line="360" w:lineRule="auto"/>
        <w:ind w:firstLine="420"/>
        <w:rPr>
          <w:rFonts w:ascii="楷体" w:hAnsi="楷体" w:eastAsia="楷体"/>
          <w:szCs w:val="21"/>
        </w:rPr>
      </w:pPr>
      <w:r>
        <w:rPr>
          <w:rFonts w:hint="eastAsia" w:ascii="楷体" w:hAnsi="楷体" w:eastAsia="楷体"/>
          <w:szCs w:val="21"/>
        </w:rPr>
        <w:t>3.定期交流教学案例及反思或论文素材分享。</w:t>
      </w:r>
      <w:r>
        <w:rPr>
          <w:rFonts w:ascii="楷体" w:hAnsi="楷体" w:eastAsia="楷体"/>
          <w:szCs w:val="21"/>
        </w:rPr>
        <w:t xml:space="preserve"> </w:t>
      </w:r>
    </w:p>
    <w:p>
      <w:pPr>
        <w:spacing w:line="360" w:lineRule="auto"/>
        <w:ind w:firstLine="420"/>
        <w:rPr>
          <w:rFonts w:ascii="楷体" w:hAnsi="楷体" w:eastAsia="楷体" w:cs="Times New Roman"/>
          <w:szCs w:val="21"/>
        </w:rPr>
      </w:pPr>
      <w:r>
        <w:rPr>
          <w:rFonts w:hint="eastAsia" w:ascii="楷体" w:hAnsi="楷体" w:eastAsia="楷体"/>
          <w:szCs w:val="21"/>
        </w:rPr>
        <w:t xml:space="preserve"> </w:t>
      </w:r>
      <w:r>
        <w:rPr>
          <w:rFonts w:hint="eastAsia" w:ascii="楷体" w:hAnsi="楷体" w:eastAsia="楷体" w:cs="Times New Roman"/>
          <w:szCs w:val="21"/>
          <w:lang w:eastAsia="zh-CN"/>
        </w:rPr>
        <w:t>（</w:t>
      </w:r>
      <w:r>
        <w:rPr>
          <w:rFonts w:hint="eastAsia" w:ascii="楷体" w:hAnsi="楷体" w:eastAsia="楷体" w:cs="Times New Roman"/>
          <w:szCs w:val="21"/>
          <w:lang w:val="en-US" w:eastAsia="zh-CN"/>
        </w:rPr>
        <w:t>四</w:t>
      </w:r>
      <w:r>
        <w:rPr>
          <w:rFonts w:hint="eastAsia" w:ascii="楷体" w:hAnsi="楷体" w:eastAsia="楷体" w:cs="Times New Roman"/>
          <w:szCs w:val="21"/>
          <w:lang w:eastAsia="zh-CN"/>
        </w:rPr>
        <w:t>）</w:t>
      </w:r>
      <w:r>
        <w:rPr>
          <w:rFonts w:hint="eastAsia" w:ascii="楷体" w:hAnsi="楷体" w:eastAsia="楷体" w:cs="Times New Roman"/>
          <w:szCs w:val="21"/>
        </w:rPr>
        <w:t xml:space="preserve">  质量监控</w:t>
      </w:r>
    </w:p>
    <w:p>
      <w:pPr>
        <w:spacing w:line="360" w:lineRule="auto"/>
        <w:ind w:firstLine="420"/>
        <w:rPr>
          <w:rFonts w:ascii="楷体" w:hAnsi="楷体" w:eastAsia="楷体" w:cs="Times New Roman"/>
          <w:szCs w:val="21"/>
        </w:rPr>
      </w:pPr>
      <w:r>
        <w:rPr>
          <w:rFonts w:hint="eastAsia" w:ascii="楷体" w:hAnsi="楷体" w:eastAsia="楷体" w:cs="Times New Roman"/>
          <w:szCs w:val="21"/>
        </w:rPr>
        <w:t>严格落实教学</w:t>
      </w:r>
      <w:r>
        <w:rPr>
          <w:rFonts w:hint="eastAsia" w:ascii="楷体" w:hAnsi="楷体" w:eastAsia="楷体" w:cs="Times New Roman"/>
          <w:szCs w:val="21"/>
          <w:lang w:val="en-US" w:eastAsia="zh-CN"/>
        </w:rPr>
        <w:t>常规</w:t>
      </w:r>
      <w:r>
        <w:rPr>
          <w:rFonts w:hint="eastAsia" w:ascii="楷体" w:hAnsi="楷体" w:eastAsia="楷体" w:cs="Times New Roman"/>
          <w:szCs w:val="21"/>
        </w:rPr>
        <w:t>，定期进行常规考核。</w:t>
      </w:r>
      <w:r>
        <w:rPr>
          <w:rFonts w:hint="eastAsia" w:ascii="楷体" w:hAnsi="楷体" w:eastAsia="楷体" w:cs="Times New Roman"/>
          <w:szCs w:val="21"/>
          <w:lang w:val="en-US" w:eastAsia="zh-CN"/>
        </w:rPr>
        <w:t>每月</w:t>
      </w:r>
      <w:r>
        <w:rPr>
          <w:rFonts w:ascii="楷体" w:hAnsi="楷体" w:eastAsia="楷体" w:cs="Times New Roman"/>
          <w:szCs w:val="21"/>
        </w:rPr>
        <w:t>对教师教学质量和学生</w:t>
      </w:r>
      <w:r>
        <w:rPr>
          <w:rFonts w:hint="eastAsia" w:ascii="楷体" w:hAnsi="楷体" w:eastAsia="楷体" w:cs="Times New Roman"/>
          <w:szCs w:val="21"/>
        </w:rPr>
        <w:t>学业</w:t>
      </w:r>
      <w:r>
        <w:rPr>
          <w:rFonts w:ascii="楷体" w:hAnsi="楷体" w:eastAsia="楷体" w:cs="Times New Roman"/>
          <w:szCs w:val="21"/>
        </w:rPr>
        <w:t>质量的精确评价</w:t>
      </w:r>
      <w:r>
        <w:rPr>
          <w:rFonts w:hint="eastAsia" w:ascii="楷体" w:hAnsi="楷体" w:eastAsia="楷体" w:cs="Times New Roman"/>
          <w:szCs w:val="21"/>
        </w:rPr>
        <w:t>，</w:t>
      </w:r>
      <w:r>
        <w:rPr>
          <w:rFonts w:ascii="楷体" w:hAnsi="楷体" w:eastAsia="楷体" w:cs="Times New Roman"/>
          <w:szCs w:val="21"/>
        </w:rPr>
        <w:t>从不同的角度分析和反馈教育教学质量情况，引导教师改进教学方法、提高学生</w:t>
      </w:r>
      <w:r>
        <w:rPr>
          <w:rFonts w:hint="eastAsia" w:ascii="楷体" w:hAnsi="楷体" w:eastAsia="楷体" w:cs="Times New Roman"/>
          <w:szCs w:val="21"/>
        </w:rPr>
        <w:t>学业质量。</w:t>
      </w:r>
    </w:p>
    <w:tbl>
      <w:tblPr>
        <w:tblStyle w:val="5"/>
        <w:tblpPr w:leftFromText="180" w:rightFromText="180" w:vertAnchor="text" w:tblpX="165" w:tblpY="360"/>
        <w:tblOverlap w:val="never"/>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2"/>
        <w:gridCol w:w="2070"/>
        <w:gridCol w:w="5160"/>
        <w:gridCol w:w="15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782" w:type="dxa"/>
            <w:noWrap w:val="0"/>
            <w:vAlign w:val="top"/>
          </w:tcPr>
          <w:p>
            <w:pPr>
              <w:spacing w:line="360" w:lineRule="auto"/>
              <w:ind w:firstLine="420"/>
              <w:rPr>
                <w:rFonts w:hint="eastAsia" w:ascii="楷体" w:hAnsi="楷体" w:eastAsia="楷体" w:cs="Times New Roman"/>
                <w:szCs w:val="21"/>
              </w:rPr>
            </w:pPr>
            <w:r>
              <w:rPr>
                <w:rFonts w:hint="eastAsia" w:ascii="楷体" w:hAnsi="楷体" w:eastAsia="楷体" w:cs="Times New Roman"/>
                <w:szCs w:val="21"/>
              </w:rPr>
              <w:t>序号</w:t>
            </w:r>
          </w:p>
        </w:tc>
        <w:tc>
          <w:tcPr>
            <w:tcW w:w="2070" w:type="dxa"/>
            <w:noWrap w:val="0"/>
            <w:vAlign w:val="center"/>
          </w:tcPr>
          <w:p>
            <w:pPr>
              <w:spacing w:line="360" w:lineRule="auto"/>
              <w:ind w:firstLine="420"/>
              <w:rPr>
                <w:rFonts w:ascii="楷体" w:hAnsi="楷体" w:eastAsia="楷体" w:cs="Times New Roman"/>
                <w:szCs w:val="21"/>
              </w:rPr>
            </w:pPr>
            <w:r>
              <w:rPr>
                <w:rFonts w:hint="eastAsia" w:ascii="楷体" w:hAnsi="楷体" w:eastAsia="楷体" w:cs="Times New Roman"/>
                <w:szCs w:val="21"/>
              </w:rPr>
              <w:t>常规工作</w:t>
            </w:r>
          </w:p>
        </w:tc>
        <w:tc>
          <w:tcPr>
            <w:tcW w:w="5160" w:type="dxa"/>
            <w:noWrap w:val="0"/>
            <w:vAlign w:val="center"/>
          </w:tcPr>
          <w:p>
            <w:pPr>
              <w:spacing w:line="360" w:lineRule="auto"/>
              <w:ind w:firstLine="420"/>
              <w:rPr>
                <w:rFonts w:ascii="楷体" w:hAnsi="楷体" w:eastAsia="楷体" w:cs="Times New Roman"/>
                <w:szCs w:val="21"/>
              </w:rPr>
            </w:pPr>
            <w:r>
              <w:rPr>
                <w:rFonts w:hint="eastAsia" w:ascii="楷体" w:hAnsi="楷体" w:eastAsia="楷体" w:cs="Times New Roman"/>
                <w:szCs w:val="21"/>
              </w:rPr>
              <w:t>落实要求</w:t>
            </w:r>
          </w:p>
        </w:tc>
        <w:tc>
          <w:tcPr>
            <w:tcW w:w="1594" w:type="dxa"/>
            <w:noWrap w:val="0"/>
            <w:vAlign w:val="center"/>
          </w:tcPr>
          <w:p>
            <w:pPr>
              <w:spacing w:line="360" w:lineRule="auto"/>
              <w:ind w:firstLine="420"/>
              <w:rPr>
                <w:rFonts w:ascii="楷体" w:hAnsi="楷体" w:eastAsia="楷体" w:cs="Times New Roman"/>
                <w:szCs w:val="21"/>
              </w:rPr>
            </w:pPr>
            <w:r>
              <w:rPr>
                <w:rFonts w:hint="eastAsia" w:ascii="楷体" w:hAnsi="楷体" w:eastAsia="楷体" w:cs="Times New Roman"/>
                <w:szCs w:val="21"/>
              </w:rPr>
              <w:t>参加对象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782" w:type="dxa"/>
            <w:noWrap w:val="0"/>
            <w:vAlign w:val="center"/>
          </w:tcPr>
          <w:p>
            <w:pPr>
              <w:spacing w:line="360" w:lineRule="auto"/>
              <w:ind w:firstLine="420"/>
              <w:rPr>
                <w:rFonts w:ascii="楷体" w:hAnsi="楷体" w:eastAsia="楷体" w:cs="Times New Roman"/>
                <w:szCs w:val="21"/>
              </w:rPr>
            </w:pPr>
            <w:r>
              <w:rPr>
                <w:rFonts w:hint="eastAsia" w:ascii="楷体" w:hAnsi="楷体" w:eastAsia="楷体" w:cs="Times New Roman"/>
                <w:szCs w:val="21"/>
              </w:rPr>
              <w:t>1</w:t>
            </w:r>
          </w:p>
        </w:tc>
        <w:tc>
          <w:tcPr>
            <w:tcW w:w="2070" w:type="dxa"/>
            <w:noWrap w:val="0"/>
            <w:vAlign w:val="center"/>
          </w:tcPr>
          <w:p>
            <w:pPr>
              <w:spacing w:line="360" w:lineRule="auto"/>
              <w:ind w:firstLine="420"/>
              <w:rPr>
                <w:rFonts w:hint="eastAsia" w:ascii="楷体" w:hAnsi="楷体" w:eastAsia="楷体" w:cs="Times New Roman"/>
                <w:szCs w:val="21"/>
              </w:rPr>
            </w:pPr>
            <w:r>
              <w:rPr>
                <w:rFonts w:hint="eastAsia" w:ascii="楷体" w:hAnsi="楷体" w:eastAsia="楷体" w:cs="Times New Roman"/>
                <w:szCs w:val="21"/>
              </w:rPr>
              <w:t>学业质量调研</w:t>
            </w:r>
          </w:p>
        </w:tc>
        <w:tc>
          <w:tcPr>
            <w:tcW w:w="5160" w:type="dxa"/>
            <w:noWrap w:val="0"/>
            <w:vAlign w:val="center"/>
          </w:tcPr>
          <w:p>
            <w:pPr>
              <w:spacing w:line="360" w:lineRule="auto"/>
              <w:ind w:firstLine="420"/>
              <w:rPr>
                <w:rFonts w:ascii="楷体" w:hAnsi="楷体" w:eastAsia="楷体" w:cs="Times New Roman"/>
                <w:szCs w:val="21"/>
              </w:rPr>
            </w:pPr>
            <w:r>
              <w:rPr>
                <w:rFonts w:ascii="楷体" w:hAnsi="楷体" w:eastAsia="楷体" w:cs="Times New Roman"/>
                <w:szCs w:val="21"/>
              </w:rPr>
              <w:t>1.</w:t>
            </w:r>
            <w:r>
              <w:rPr>
                <w:rFonts w:hint="eastAsia" w:ascii="楷体" w:hAnsi="楷体" w:eastAsia="楷体" w:cs="Times New Roman"/>
                <w:szCs w:val="21"/>
              </w:rPr>
              <w:t>一、二年级期末闯关</w:t>
            </w:r>
          </w:p>
          <w:p>
            <w:pPr>
              <w:spacing w:line="360" w:lineRule="auto"/>
              <w:ind w:firstLine="420"/>
              <w:rPr>
                <w:rFonts w:ascii="楷体" w:hAnsi="楷体" w:eastAsia="楷体" w:cs="Times New Roman"/>
                <w:szCs w:val="21"/>
              </w:rPr>
            </w:pPr>
            <w:r>
              <w:rPr>
                <w:rFonts w:ascii="楷体" w:hAnsi="楷体" w:eastAsia="楷体" w:cs="Times New Roman"/>
                <w:szCs w:val="21"/>
              </w:rPr>
              <w:t>2.</w:t>
            </w:r>
            <w:r>
              <w:rPr>
                <w:rFonts w:hint="eastAsia" w:ascii="楷体" w:hAnsi="楷体" w:eastAsia="楷体" w:cs="Times New Roman"/>
                <w:szCs w:val="21"/>
              </w:rPr>
              <w:t>三—六年级期末考试</w:t>
            </w:r>
          </w:p>
          <w:p>
            <w:pPr>
              <w:spacing w:line="360" w:lineRule="auto"/>
              <w:ind w:firstLine="420"/>
              <w:rPr>
                <w:rFonts w:hint="default" w:ascii="楷体" w:hAnsi="楷体" w:eastAsia="楷体" w:cs="Times New Roman"/>
                <w:szCs w:val="21"/>
                <w:lang w:val="en-US" w:eastAsia="zh-CN"/>
              </w:rPr>
            </w:pPr>
            <w:r>
              <w:rPr>
                <w:rFonts w:hint="eastAsia" w:ascii="楷体" w:hAnsi="楷体" w:eastAsia="楷体" w:cs="Times New Roman"/>
                <w:szCs w:val="21"/>
              </w:rPr>
              <w:t>3</w:t>
            </w:r>
            <w:r>
              <w:rPr>
                <w:rFonts w:ascii="楷体" w:hAnsi="楷体" w:eastAsia="楷体" w:cs="Times New Roman"/>
                <w:szCs w:val="21"/>
              </w:rPr>
              <w:t>.</w:t>
            </w:r>
            <w:r>
              <w:rPr>
                <w:rFonts w:hint="eastAsia" w:ascii="楷体" w:hAnsi="楷体" w:eastAsia="楷体" w:cs="Times New Roman"/>
                <w:szCs w:val="21"/>
                <w:lang w:val="en-US" w:eastAsia="zh-CN"/>
              </w:rPr>
              <w:t>每月限时作业</w:t>
            </w:r>
          </w:p>
        </w:tc>
        <w:tc>
          <w:tcPr>
            <w:tcW w:w="1594" w:type="dxa"/>
            <w:noWrap w:val="0"/>
            <w:vAlign w:val="center"/>
          </w:tcPr>
          <w:p>
            <w:pPr>
              <w:spacing w:line="360" w:lineRule="auto"/>
              <w:ind w:firstLine="420"/>
              <w:rPr>
                <w:rFonts w:ascii="楷体" w:hAnsi="楷体" w:eastAsia="楷体" w:cs="Times New Roman"/>
                <w:szCs w:val="21"/>
              </w:rPr>
            </w:pPr>
            <w:r>
              <w:rPr>
                <w:rFonts w:hint="eastAsia" w:ascii="楷体" w:hAnsi="楷体" w:eastAsia="楷体" w:cs="Times New Roman"/>
                <w:szCs w:val="21"/>
              </w:rPr>
              <w:t>全体教师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782" w:type="dxa"/>
            <w:noWrap w:val="0"/>
            <w:vAlign w:val="center"/>
          </w:tcPr>
          <w:p>
            <w:pPr>
              <w:spacing w:line="360" w:lineRule="auto"/>
              <w:ind w:firstLine="420"/>
              <w:rPr>
                <w:rFonts w:ascii="楷体" w:hAnsi="楷体" w:eastAsia="楷体" w:cs="Times New Roman"/>
                <w:szCs w:val="21"/>
              </w:rPr>
            </w:pPr>
            <w:r>
              <w:rPr>
                <w:rFonts w:ascii="楷体" w:hAnsi="楷体" w:eastAsia="楷体" w:cs="Times New Roman"/>
                <w:szCs w:val="21"/>
              </w:rPr>
              <w:t>2</w:t>
            </w:r>
          </w:p>
        </w:tc>
        <w:tc>
          <w:tcPr>
            <w:tcW w:w="2070" w:type="dxa"/>
            <w:noWrap w:val="0"/>
            <w:vAlign w:val="center"/>
          </w:tcPr>
          <w:p>
            <w:pPr>
              <w:spacing w:line="360" w:lineRule="auto"/>
              <w:ind w:firstLine="420"/>
              <w:rPr>
                <w:rFonts w:hint="eastAsia" w:ascii="楷体" w:hAnsi="楷体" w:eastAsia="楷体" w:cs="Times New Roman"/>
                <w:szCs w:val="21"/>
              </w:rPr>
            </w:pPr>
            <w:r>
              <w:rPr>
                <w:rFonts w:hint="eastAsia" w:ascii="楷体" w:hAnsi="楷体" w:eastAsia="楷体" w:cs="Times New Roman"/>
                <w:szCs w:val="21"/>
              </w:rPr>
              <w:t>学业质量调研分析活动</w:t>
            </w:r>
          </w:p>
        </w:tc>
        <w:tc>
          <w:tcPr>
            <w:tcW w:w="5160" w:type="dxa"/>
            <w:noWrap w:val="0"/>
            <w:vAlign w:val="top"/>
          </w:tcPr>
          <w:p>
            <w:pPr>
              <w:spacing w:line="360" w:lineRule="auto"/>
              <w:ind w:firstLine="420"/>
              <w:rPr>
                <w:rFonts w:hint="eastAsia" w:ascii="楷体" w:hAnsi="楷体" w:eastAsia="楷体" w:cs="Times New Roman"/>
                <w:szCs w:val="21"/>
              </w:rPr>
            </w:pPr>
            <w:r>
              <w:rPr>
                <w:rFonts w:hint="eastAsia" w:ascii="楷体" w:hAnsi="楷体" w:eastAsia="楷体" w:cs="Times New Roman"/>
                <w:szCs w:val="21"/>
              </w:rPr>
              <w:t>1.开展备课组学业质量分析研讨。</w:t>
            </w:r>
          </w:p>
          <w:p>
            <w:pPr>
              <w:spacing w:line="360" w:lineRule="auto"/>
              <w:ind w:firstLine="420"/>
              <w:rPr>
                <w:rFonts w:hint="eastAsia" w:ascii="楷体" w:hAnsi="楷体" w:eastAsia="楷体" w:cs="Times New Roman"/>
                <w:szCs w:val="21"/>
              </w:rPr>
            </w:pPr>
            <w:r>
              <w:rPr>
                <w:rFonts w:hint="eastAsia" w:ascii="楷体" w:hAnsi="楷体" w:eastAsia="楷体" w:cs="Times New Roman"/>
                <w:szCs w:val="21"/>
              </w:rPr>
              <w:t>2.开展教研组内阶段性学业质量调研分析交流活动。</w:t>
            </w:r>
          </w:p>
        </w:tc>
        <w:tc>
          <w:tcPr>
            <w:tcW w:w="1594" w:type="dxa"/>
            <w:noWrap w:val="0"/>
            <w:vAlign w:val="center"/>
          </w:tcPr>
          <w:p>
            <w:pPr>
              <w:spacing w:line="360" w:lineRule="auto"/>
              <w:ind w:firstLine="420"/>
              <w:rPr>
                <w:rFonts w:ascii="楷体" w:hAnsi="楷体" w:eastAsia="楷体" w:cs="Times New Roman"/>
                <w:szCs w:val="21"/>
              </w:rPr>
            </w:pPr>
            <w:r>
              <w:rPr>
                <w:rFonts w:hint="eastAsia" w:ascii="楷体" w:hAnsi="楷体" w:eastAsia="楷体" w:cs="Times New Roman"/>
                <w:szCs w:val="21"/>
              </w:rPr>
              <w:t>全体教师</w:t>
            </w:r>
          </w:p>
        </w:tc>
      </w:tr>
    </w:tbl>
    <w:p>
      <w:pPr>
        <w:numPr>
          <w:ilvl w:val="0"/>
          <w:numId w:val="0"/>
        </w:numPr>
        <w:spacing w:before="156" w:beforeLines="50" w:after="156" w:afterLines="50"/>
        <w:rPr>
          <w:rFonts w:ascii="楷体" w:hAnsi="楷体" w:eastAsia="楷体"/>
          <w:szCs w:val="21"/>
        </w:rPr>
      </w:pPr>
      <w:r>
        <w:rPr>
          <w:rFonts w:ascii="楷体" w:hAnsi="楷体" w:eastAsia="楷体"/>
          <w:szCs w:val="21"/>
        </w:rPr>
        <w:t xml:space="preserve"> </w:t>
      </w:r>
    </w:p>
    <w:p>
      <w:pPr>
        <w:numPr>
          <w:ilvl w:val="0"/>
          <w:numId w:val="0"/>
        </w:numPr>
        <w:spacing w:before="156" w:beforeLines="50" w:after="156" w:afterLines="50"/>
        <w:ind w:firstLine="482" w:firstLineChars="200"/>
        <w:rPr>
          <w:rFonts w:hint="default"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三、重视学生工作，将素养落到实处。</w:t>
      </w:r>
    </w:p>
    <w:p>
      <w:pPr>
        <w:widowControl/>
        <w:spacing w:line="360" w:lineRule="auto"/>
        <w:ind w:firstLine="413" w:firstLineChars="197"/>
        <w:jc w:val="left"/>
        <w:rPr>
          <w:rFonts w:hint="eastAsia" w:ascii="楷体" w:hAnsi="楷体" w:eastAsia="楷体" w:cs="宋体"/>
          <w:kern w:val="0"/>
          <w:szCs w:val="21"/>
          <w:lang w:val="en-US" w:eastAsia="zh-CN"/>
        </w:rPr>
      </w:pPr>
      <w:r>
        <w:rPr>
          <w:rFonts w:hint="eastAsia" w:ascii="楷体" w:hAnsi="楷体" w:eastAsia="楷体" w:cs="宋体"/>
          <w:kern w:val="0"/>
          <w:szCs w:val="21"/>
          <w:lang w:val="en-US" w:eastAsia="zh-CN"/>
        </w:rPr>
        <w:t>1.通过常规调研，完善教师教学常规，提高教师的教学质量，落实学习常规要求，提升听课效率，在落实四基的同时，全面发展学生的核心素养。</w:t>
      </w:r>
    </w:p>
    <w:p>
      <w:pPr>
        <w:widowControl/>
        <w:spacing w:line="360" w:lineRule="auto"/>
        <w:ind w:firstLine="413" w:firstLineChars="197"/>
        <w:jc w:val="left"/>
        <w:rPr>
          <w:rFonts w:hint="eastAsia" w:ascii="楷体" w:hAnsi="楷体" w:eastAsia="楷体" w:cs="宋体"/>
          <w:kern w:val="0"/>
          <w:szCs w:val="21"/>
          <w:lang w:val="en-US" w:eastAsia="zh-CN"/>
        </w:rPr>
      </w:pPr>
      <w:r>
        <w:rPr>
          <w:rFonts w:hint="eastAsia" w:ascii="楷体" w:hAnsi="楷体" w:eastAsia="楷体" w:cs="宋体"/>
          <w:kern w:val="0"/>
          <w:szCs w:val="21"/>
          <w:lang w:val="en-US" w:eastAsia="zh-CN"/>
        </w:rPr>
        <w:t>2.以课程建设策划学生活动，丰富学生的数学生活，在活动过程中锻炼学生的数学思维，培养学生的应用意识。</w:t>
      </w:r>
    </w:p>
    <w:p>
      <w:pPr>
        <w:widowControl/>
        <w:spacing w:line="360" w:lineRule="auto"/>
        <w:ind w:firstLine="413" w:firstLineChars="197"/>
        <w:jc w:val="left"/>
        <w:rPr>
          <w:rFonts w:hint="eastAsia" w:ascii="楷体" w:hAnsi="楷体" w:eastAsia="楷体" w:cs="宋体"/>
          <w:kern w:val="0"/>
          <w:szCs w:val="21"/>
          <w:lang w:val="en-US" w:eastAsia="zh-CN"/>
        </w:rPr>
      </w:pPr>
      <w:r>
        <w:rPr>
          <w:rFonts w:hint="eastAsia" w:ascii="楷体" w:hAnsi="楷体" w:eastAsia="楷体" w:cs="宋体"/>
          <w:kern w:val="0"/>
          <w:szCs w:val="21"/>
          <w:lang w:val="en-US" w:eastAsia="zh-CN"/>
        </w:rPr>
        <w:t>3.通过完善评价方式，综合考察学生能力，通过学科竞赛检测提升学生的数学关键能力，通过形成性作业体现数学学习的生活性和数学思维的灵活性。</w:t>
      </w:r>
    </w:p>
    <w:p>
      <w:pPr>
        <w:spacing w:line="360" w:lineRule="auto"/>
        <w:ind w:firstLine="482" w:firstLineChars="200"/>
        <w:rPr>
          <w:rFonts w:hint="eastAsia" w:ascii="宋体" w:hAnsi="宋体" w:eastAsia="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四、</w:t>
      </w:r>
      <w:r>
        <w:rPr>
          <w:rFonts w:hint="eastAsia" w:ascii="宋体" w:hAnsi="宋体" w:eastAsia="宋体" w:cs="宋体"/>
          <w:b/>
          <w:bCs/>
          <w:color w:val="000000"/>
          <w:kern w:val="0"/>
          <w:sz w:val="24"/>
          <w:szCs w:val="24"/>
          <w:lang w:val="en-US" w:eastAsia="zh-CN"/>
        </w:rPr>
        <w:t>具体安排</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422" w:firstLineChars="200"/>
        <w:textAlignment w:val="auto"/>
        <w:rPr>
          <w:rFonts w:hint="eastAsia" w:ascii="宋体" w:hAnsi="宋体" w:eastAsia="宋体" w:cs="宋体"/>
          <w:b/>
          <w:bCs/>
          <w:szCs w:val="21"/>
          <w:lang w:eastAsia="zh-CN"/>
        </w:rPr>
      </w:pPr>
      <w:r>
        <w:rPr>
          <w:rFonts w:hint="eastAsia" w:ascii="宋体" w:hAnsi="宋体" w:cs="宋体"/>
          <w:b/>
          <w:bCs/>
          <w:szCs w:val="21"/>
          <w:lang w:val="en-US" w:eastAsia="zh-CN"/>
        </w:rPr>
        <w:t>二</w:t>
      </w:r>
      <w:r>
        <w:rPr>
          <w:rFonts w:hint="eastAsia" w:ascii="宋体" w:hAnsi="宋体" w:cs="宋体"/>
          <w:b/>
          <w:bCs/>
          <w:szCs w:val="21"/>
        </w:rPr>
        <w:t>月份</w:t>
      </w:r>
      <w:r>
        <w:rPr>
          <w:rFonts w:hint="eastAsia" w:ascii="宋体" w:hAnsi="宋体" w:cs="宋体"/>
          <w:b/>
          <w:bCs/>
          <w:szCs w:val="21"/>
          <w:lang w:eastAsia="zh-CN"/>
        </w:rPr>
        <w:t>：</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420" w:firstLineChars="200"/>
        <w:textAlignment w:val="auto"/>
        <w:rPr>
          <w:rFonts w:hint="eastAsia" w:ascii="宋体" w:hAnsi="宋体" w:cs="宋体"/>
          <w:color w:val="auto"/>
          <w:szCs w:val="21"/>
        </w:rPr>
      </w:pPr>
      <w:r>
        <w:rPr>
          <w:rFonts w:hint="eastAsia" w:ascii="宋体" w:hAnsi="宋体" w:cs="宋体"/>
          <w:color w:val="auto"/>
          <w:szCs w:val="21"/>
          <w:lang w:val="en-US" w:eastAsia="zh-CN"/>
        </w:rPr>
        <w:t>1.</w:t>
      </w:r>
      <w:r>
        <w:rPr>
          <w:rFonts w:hint="eastAsia" w:ascii="宋体" w:hAnsi="宋体" w:cs="宋体"/>
          <w:color w:val="auto"/>
          <w:szCs w:val="21"/>
        </w:rPr>
        <w:t>市小学数学教材分析线上培训活动，</w:t>
      </w:r>
      <w:r>
        <w:rPr>
          <w:rFonts w:hint="eastAsia" w:ascii="宋体" w:hAnsi="宋体" w:cs="宋体"/>
          <w:color w:val="auto"/>
          <w:szCs w:val="21"/>
          <w:lang w:eastAsia="zh-CN"/>
        </w:rPr>
        <w:t>学科教研组长主题</w:t>
      </w:r>
      <w:r>
        <w:rPr>
          <w:rFonts w:hint="eastAsia" w:ascii="宋体" w:hAnsi="宋体" w:cs="宋体"/>
          <w:color w:val="auto"/>
          <w:szCs w:val="21"/>
        </w:rPr>
        <w:t>培训活</w:t>
      </w:r>
      <w:r>
        <w:rPr>
          <w:rFonts w:ascii="宋体" w:hAnsi="宋体" w:cs="宋体"/>
          <w:color w:val="auto"/>
          <w:szCs w:val="21"/>
        </w:rPr>
        <w:t>动</w:t>
      </w:r>
      <w:r>
        <w:rPr>
          <w:rFonts w:hint="eastAsia" w:ascii="宋体" w:hAnsi="宋体" w:cs="宋体"/>
          <w:color w:val="auto"/>
          <w:szCs w:val="21"/>
        </w:rPr>
        <w:t>。</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szCs w:val="21"/>
          <w:lang w:val="en-US" w:eastAsia="zh-CN"/>
        </w:rPr>
      </w:pPr>
      <w:r>
        <w:rPr>
          <w:rFonts w:hint="eastAsia" w:ascii="宋体" w:hAnsi="宋体" w:cs="宋体"/>
          <w:color w:val="auto"/>
          <w:szCs w:val="21"/>
          <w:lang w:val="en-US" w:eastAsia="zh-CN"/>
        </w:rPr>
        <w:t>2.</w:t>
      </w:r>
      <w:r>
        <w:rPr>
          <w:rFonts w:hint="eastAsia" w:ascii="宋体" w:hAnsi="宋体" w:cs="宋体"/>
          <w:color w:val="auto"/>
          <w:szCs w:val="21"/>
        </w:rPr>
        <w:t>期初数学学科责任人会议暨</w:t>
      </w:r>
      <w:r>
        <w:rPr>
          <w:rFonts w:hint="eastAsia" w:ascii="宋体" w:hAnsi="宋体" w:cs="宋体"/>
          <w:color w:val="auto"/>
          <w:szCs w:val="21"/>
          <w:lang w:val="en-US" w:eastAsia="zh-CN"/>
        </w:rPr>
        <w:t>区</w:t>
      </w:r>
      <w:r>
        <w:rPr>
          <w:rFonts w:hint="eastAsia" w:ascii="宋体" w:hAnsi="宋体" w:cs="宋体"/>
          <w:color w:val="auto"/>
          <w:szCs w:val="21"/>
        </w:rPr>
        <w:t>学业质量检测</w:t>
      </w:r>
      <w:r>
        <w:rPr>
          <w:rFonts w:hint="eastAsia" w:ascii="宋体" w:hAnsi="宋体" w:cs="宋体"/>
          <w:color w:val="auto"/>
          <w:szCs w:val="21"/>
          <w:lang w:val="en-US" w:eastAsia="zh-CN"/>
        </w:rPr>
        <w:t>分析会</w:t>
      </w:r>
      <w:r>
        <w:rPr>
          <w:rFonts w:hint="eastAsia" w:ascii="宋体" w:hAnsi="宋体" w:cs="宋体"/>
          <w:color w:val="auto"/>
          <w:szCs w:val="21"/>
        </w:rPr>
        <w:t>（各校数学学科第一责任人、教研组长）</w:t>
      </w:r>
      <w:r>
        <w:rPr>
          <w:rFonts w:hint="eastAsia" w:ascii="宋体" w:hAnsi="宋体" w:cs="宋体"/>
          <w:color w:val="auto"/>
          <w:szCs w:val="21"/>
          <w:lang w:eastAsia="zh-CN"/>
        </w:rPr>
        <w:t>。</w:t>
      </w:r>
    </w:p>
    <w:p>
      <w:pPr>
        <w:pStyle w:val="2"/>
        <w:keepNext w:val="0"/>
        <w:keepLines w:val="0"/>
        <w:pageBreakBefore w:val="0"/>
        <w:widowControl w:val="0"/>
        <w:kinsoku/>
        <w:wordWrap/>
        <w:overflowPunct/>
        <w:topLinePunct w:val="0"/>
        <w:autoSpaceDE/>
        <w:autoSpaceDN/>
        <w:bidi w:val="0"/>
        <w:adjustRightInd/>
        <w:snapToGrid/>
        <w:spacing w:line="300" w:lineRule="auto"/>
        <w:ind w:left="0" w:leftChars="0" w:firstLine="422" w:firstLineChars="200"/>
        <w:textAlignment w:val="auto"/>
        <w:rPr>
          <w:rFonts w:hint="eastAsia" w:eastAsia="宋体"/>
          <w:b/>
          <w:bCs/>
          <w:color w:val="auto"/>
          <w:lang w:val="en-US" w:eastAsia="zh-CN"/>
        </w:rPr>
      </w:pPr>
      <w:r>
        <w:rPr>
          <w:rFonts w:hint="eastAsia" w:ascii="宋体" w:hAnsi="宋体" w:cs="宋体"/>
          <w:b/>
          <w:bCs/>
          <w:color w:val="auto"/>
          <w:szCs w:val="21"/>
          <w:lang w:val="en-US" w:eastAsia="zh-CN"/>
        </w:rPr>
        <w:t>三月份：</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420" w:firstLineChars="200"/>
        <w:textAlignment w:val="auto"/>
        <w:rPr>
          <w:rFonts w:hint="eastAsia" w:ascii="宋体" w:hAnsi="宋体" w:cs="宋体"/>
          <w:color w:val="auto"/>
          <w:szCs w:val="21"/>
        </w:rPr>
      </w:pPr>
      <w:r>
        <w:rPr>
          <w:rFonts w:hint="eastAsia" w:ascii="宋体" w:hAnsi="宋体" w:cs="宋体"/>
          <w:color w:val="auto"/>
          <w:szCs w:val="21"/>
          <w:lang w:val="en-US" w:eastAsia="zh-CN"/>
        </w:rPr>
        <w:t>1.</w:t>
      </w:r>
      <w:r>
        <w:rPr>
          <w:rFonts w:hint="eastAsia" w:ascii="宋体" w:hAnsi="宋体" w:eastAsia="宋体" w:cs="宋体"/>
          <w:color w:val="auto"/>
          <w:szCs w:val="21"/>
          <w:lang w:val="en-US" w:eastAsia="zh-CN"/>
        </w:rPr>
        <w:t>市小学阶段学业质量常规抽测工作区域常态准备活动</w:t>
      </w:r>
      <w:r>
        <w:rPr>
          <w:rFonts w:hint="eastAsia" w:ascii="宋体" w:hAnsi="宋体" w:cs="宋体"/>
          <w:color w:val="auto"/>
          <w:szCs w:val="21"/>
        </w:rPr>
        <w:t>。</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2.天宁区小学数学教师基本功比赛。</w:t>
      </w:r>
    </w:p>
    <w:p>
      <w:pPr>
        <w:pStyle w:val="4"/>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3.2024年常州市小学数学教师基本功比赛。</w:t>
      </w:r>
    </w:p>
    <w:p>
      <w:pPr>
        <w:pStyle w:val="4"/>
        <w:rPr>
          <w:rFonts w:hint="eastAsia" w:ascii="宋体" w:hAnsi="宋体" w:eastAsia="宋体" w:cs="宋体"/>
          <w:color w:val="auto"/>
          <w:kern w:val="2"/>
          <w:sz w:val="21"/>
          <w:szCs w:val="21"/>
          <w:lang w:val="en-US" w:eastAsia="zh-CN" w:bidi="ar-SA"/>
        </w:rPr>
      </w:pPr>
      <w:r>
        <w:rPr>
          <w:rFonts w:hint="eastAsia" w:ascii="宋体" w:hAnsi="宋体" w:cs="宋体"/>
          <w:color w:val="auto"/>
          <w:szCs w:val="21"/>
          <w:lang w:val="en-US" w:eastAsia="zh-CN"/>
        </w:rPr>
        <w:t>4.</w:t>
      </w:r>
      <w:r>
        <w:rPr>
          <w:rFonts w:hint="eastAsia" w:ascii="宋体" w:hAnsi="宋体" w:eastAsia="宋体" w:cs="宋体"/>
          <w:color w:val="auto"/>
          <w:kern w:val="2"/>
          <w:sz w:val="21"/>
          <w:szCs w:val="21"/>
          <w:lang w:val="en-US" w:eastAsia="zh-CN" w:bidi="ar-SA"/>
        </w:rPr>
        <w:t>区级集团联盟校校本教研交流展示活动（一）。</w:t>
      </w:r>
    </w:p>
    <w:p>
      <w:pPr>
        <w:keepNext w:val="0"/>
        <w:keepLines w:val="0"/>
        <w:pageBreakBefore w:val="0"/>
        <w:widowControl w:val="0"/>
        <w:kinsoku/>
        <w:wordWrap/>
        <w:overflowPunct/>
        <w:topLinePunct w:val="0"/>
        <w:autoSpaceDE/>
        <w:autoSpaceDN/>
        <w:bidi w:val="0"/>
        <w:adjustRightInd/>
        <w:snapToGrid/>
        <w:spacing w:line="300" w:lineRule="auto"/>
        <w:ind w:firstLine="422" w:firstLineChars="200"/>
        <w:textAlignment w:val="auto"/>
        <w:rPr>
          <w:rFonts w:hint="eastAsia" w:ascii="宋体" w:hAnsi="宋体" w:eastAsia="宋体" w:cs="宋体"/>
          <w:b/>
          <w:bCs/>
          <w:color w:val="auto"/>
          <w:szCs w:val="21"/>
        </w:rPr>
      </w:pPr>
      <w:r>
        <w:rPr>
          <w:rFonts w:hint="eastAsia" w:ascii="宋体" w:hAnsi="宋体" w:eastAsia="宋体" w:cs="宋体"/>
          <w:b/>
          <w:bCs/>
          <w:color w:val="auto"/>
          <w:szCs w:val="21"/>
          <w:lang w:val="en-US" w:eastAsia="zh-CN"/>
        </w:rPr>
        <w:t>四月份：</w:t>
      </w:r>
      <w:r>
        <w:rPr>
          <w:rFonts w:hint="eastAsia" w:ascii="宋体" w:hAnsi="宋体" w:eastAsia="宋体" w:cs="宋体"/>
          <w:b/>
          <w:bCs/>
          <w:color w:val="auto"/>
          <w:szCs w:val="21"/>
        </w:rPr>
        <w:t xml:space="preserve">  </w:t>
      </w:r>
    </w:p>
    <w:p>
      <w:pPr>
        <w:pStyle w:val="2"/>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1.聚焦新课标 赋能新课堂—“综合与实践”大单元整体教学研究暨智慧天宁数字化学习展示活动，参加市“同题异构”联校教研活动暨优秀校本教研交流观摩活动。</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420" w:firstLineChars="200"/>
        <w:textAlignment w:val="auto"/>
        <w:rPr>
          <w:rFonts w:hint="default" w:ascii="宋体" w:hAnsi="宋体" w:eastAsia="宋体" w:cs="宋体"/>
          <w:color w:val="auto"/>
          <w:szCs w:val="21"/>
          <w:lang w:val="en-US" w:eastAsia="zh-CN"/>
        </w:rPr>
      </w:pPr>
      <w:r>
        <w:rPr>
          <w:rFonts w:hint="eastAsia" w:ascii="宋体" w:hAnsi="宋体" w:eastAsia="宋体" w:cs="宋体"/>
          <w:color w:val="auto"/>
          <w:kern w:val="2"/>
          <w:sz w:val="21"/>
          <w:szCs w:val="21"/>
          <w:lang w:val="en-US" w:eastAsia="zh-CN" w:bidi="ar-SA"/>
        </w:rPr>
        <w:t>2.聚焦新课标 赋能新课堂—“图形与几何”领域大单元整体教学研讨</w:t>
      </w:r>
      <w:r>
        <w:rPr>
          <w:rFonts w:hint="eastAsia" w:ascii="宋体" w:hAnsi="宋体" w:eastAsia="宋体" w:cs="宋体"/>
          <w:color w:val="auto"/>
          <w:szCs w:val="21"/>
          <w:lang w:val="en-US" w:eastAsia="zh-CN"/>
        </w:rPr>
        <w:t>活动。</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420" w:firstLineChars="200"/>
        <w:textAlignment w:val="auto"/>
        <w:rPr>
          <w:rFonts w:hint="default"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3.“城乡共研”校本教研交流活动（镇区学校和</w:t>
      </w:r>
      <w:r>
        <w:rPr>
          <w:rFonts w:hint="eastAsia" w:ascii="宋体" w:hAnsi="宋体" w:eastAsia="宋体" w:cs="宋体"/>
          <w:color w:val="auto"/>
          <w:szCs w:val="21"/>
          <w:lang w:val="en-US" w:eastAsia="zh-CN"/>
        </w:rPr>
        <w:t>区域薄弱学校</w:t>
      </w:r>
      <w:r>
        <w:rPr>
          <w:rFonts w:hint="eastAsia" w:ascii="宋体" w:hAnsi="宋体" w:eastAsia="宋体" w:cs="宋体"/>
          <w:color w:val="auto"/>
          <w:kern w:val="2"/>
          <w:sz w:val="21"/>
          <w:szCs w:val="21"/>
          <w:lang w:val="en-US" w:eastAsia="zh-CN" w:bidi="ar-SA"/>
        </w:rPr>
        <w:t>）。</w:t>
      </w:r>
    </w:p>
    <w:p>
      <w:pPr>
        <w:numPr>
          <w:ilvl w:val="0"/>
          <w:numId w:val="0"/>
        </w:numPr>
        <w:tabs>
          <w:tab w:val="left" w:pos="2232"/>
        </w:tabs>
        <w:spacing w:line="300" w:lineRule="auto"/>
        <w:ind w:firstLine="420" w:firstLineChars="200"/>
        <w:rPr>
          <w:rFonts w:hint="eastAsia" w:ascii="宋体" w:hAnsi="宋体" w:eastAsia="宋体" w:cs="宋体"/>
          <w:color w:val="auto"/>
          <w:szCs w:val="21"/>
          <w:lang w:val="en-US" w:eastAsia="zh-CN"/>
        </w:rPr>
      </w:pPr>
      <w:r>
        <w:rPr>
          <w:rFonts w:hint="eastAsia" w:ascii="宋体" w:hAnsi="宋体" w:eastAsia="宋体" w:cs="宋体"/>
          <w:color w:val="auto"/>
          <w:kern w:val="2"/>
          <w:sz w:val="21"/>
          <w:szCs w:val="21"/>
          <w:lang w:val="en-US" w:eastAsia="zh-CN" w:bidi="ar-SA"/>
        </w:rPr>
        <w:t>4.区</w:t>
      </w:r>
      <w:r>
        <w:rPr>
          <w:rFonts w:hint="eastAsia" w:ascii="宋体" w:hAnsi="宋体" w:eastAsia="宋体" w:cs="宋体"/>
          <w:color w:val="auto"/>
          <w:szCs w:val="21"/>
          <w:lang w:val="en-US" w:eastAsia="zh-CN"/>
        </w:rPr>
        <w:t>学业质量常态监测活动。</w:t>
      </w:r>
    </w:p>
    <w:p>
      <w:pPr>
        <w:pStyle w:val="2"/>
        <w:ind w:left="0" w:leftChars="0" w:firstLine="422" w:firstLineChars="200"/>
        <w:rPr>
          <w:rFonts w:hint="eastAsia" w:ascii="宋体" w:hAnsi="宋体" w:eastAsia="宋体" w:cs="宋体"/>
          <w:b/>
          <w:bCs/>
          <w:color w:val="auto"/>
          <w:kern w:val="2"/>
          <w:sz w:val="21"/>
          <w:szCs w:val="21"/>
          <w:lang w:val="en-US" w:eastAsia="zh-CN" w:bidi="ar-SA"/>
        </w:rPr>
      </w:pPr>
      <w:r>
        <w:rPr>
          <w:rFonts w:hint="eastAsia" w:ascii="宋体" w:hAnsi="宋体" w:eastAsia="宋体" w:cs="宋体"/>
          <w:b/>
          <w:bCs/>
          <w:color w:val="auto"/>
          <w:kern w:val="2"/>
          <w:sz w:val="21"/>
          <w:szCs w:val="21"/>
          <w:lang w:val="en-US" w:eastAsia="zh-CN" w:bidi="ar-SA"/>
        </w:rPr>
        <w:t>五月份：</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Cs w:val="21"/>
          <w:lang w:val="en-US" w:eastAsia="zh-CN"/>
        </w:rPr>
        <w:t>1.</w:t>
      </w:r>
      <w:r>
        <w:rPr>
          <w:rFonts w:hint="eastAsia" w:ascii="宋体" w:hAnsi="宋体" w:eastAsia="宋体" w:cs="宋体"/>
          <w:color w:val="auto"/>
          <w:kern w:val="2"/>
          <w:sz w:val="21"/>
          <w:szCs w:val="21"/>
          <w:lang w:val="en-US" w:eastAsia="zh-CN" w:bidi="ar-SA"/>
        </w:rPr>
        <w:t>聚焦新课标 赋能新课堂—常州市小升初衔接教学研讨活动（解放路小学）。</w:t>
      </w:r>
    </w:p>
    <w:p>
      <w:pPr>
        <w:numPr>
          <w:ilvl w:val="0"/>
          <w:numId w:val="0"/>
        </w:numPr>
        <w:tabs>
          <w:tab w:val="left" w:pos="2232"/>
        </w:tabs>
        <w:spacing w:line="300" w:lineRule="auto"/>
        <w:ind w:left="420" w:leftChars="0"/>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2.区学业质量常态分析反馈活动。</w:t>
      </w:r>
    </w:p>
    <w:p>
      <w:pPr>
        <w:numPr>
          <w:ilvl w:val="0"/>
          <w:numId w:val="0"/>
        </w:numPr>
        <w:tabs>
          <w:tab w:val="left" w:pos="2232"/>
        </w:tabs>
        <w:spacing w:line="300" w:lineRule="auto"/>
        <w:ind w:left="420" w:leftChars="0"/>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3.市小学阶段学业质量常规抽测工作。</w:t>
      </w:r>
    </w:p>
    <w:p>
      <w:pPr>
        <w:numPr>
          <w:ilvl w:val="0"/>
          <w:numId w:val="0"/>
        </w:numPr>
        <w:tabs>
          <w:tab w:val="left" w:pos="2232"/>
        </w:tabs>
        <w:spacing w:line="300" w:lineRule="auto"/>
        <w:ind w:firstLine="420" w:firstLineChars="200"/>
        <w:rPr>
          <w:rFonts w:hint="eastAsia" w:ascii="宋体" w:hAnsi="宋体" w:eastAsia="宋体" w:cs="宋体"/>
          <w:color w:val="auto"/>
          <w:szCs w:val="21"/>
          <w:lang w:val="en-US" w:eastAsia="zh-CN"/>
        </w:rPr>
      </w:pPr>
      <w:r>
        <w:rPr>
          <w:rFonts w:hint="eastAsia" w:ascii="宋体" w:hAnsi="宋体" w:eastAsia="宋体" w:cs="宋体"/>
          <w:color w:val="auto"/>
          <w:kern w:val="2"/>
          <w:sz w:val="21"/>
          <w:szCs w:val="21"/>
          <w:lang w:val="en-US" w:eastAsia="zh-CN" w:bidi="ar-SA"/>
        </w:rPr>
        <w:t>4.</w:t>
      </w:r>
      <w:r>
        <w:rPr>
          <w:rFonts w:hint="eastAsia" w:ascii="宋体" w:hAnsi="宋体" w:eastAsia="宋体" w:cs="宋体"/>
          <w:color w:val="auto"/>
          <w:szCs w:val="21"/>
          <w:lang w:val="en-US" w:eastAsia="zh-CN"/>
        </w:rPr>
        <w:t>区级工作室评估暨区域联校教研活动。</w:t>
      </w:r>
    </w:p>
    <w:p>
      <w:pPr>
        <w:pStyle w:val="4"/>
        <w:rPr>
          <w:rFonts w:hint="default" w:ascii="宋体" w:hAnsi="宋体" w:eastAsia="宋体" w:cs="宋体"/>
          <w:color w:val="auto"/>
          <w:kern w:val="2"/>
          <w:sz w:val="21"/>
          <w:szCs w:val="21"/>
          <w:lang w:val="en-US" w:eastAsia="zh-CN" w:bidi="ar-SA"/>
        </w:rPr>
      </w:pPr>
      <w:r>
        <w:rPr>
          <w:rFonts w:hint="eastAsia" w:ascii="宋体" w:hAnsi="宋体" w:cs="宋体"/>
          <w:color w:val="auto"/>
          <w:szCs w:val="21"/>
          <w:lang w:val="en-US" w:eastAsia="zh-CN"/>
        </w:rPr>
        <w:t>5.</w:t>
      </w:r>
      <w:r>
        <w:rPr>
          <w:rFonts w:hint="eastAsia" w:ascii="宋体" w:hAnsi="宋体" w:eastAsia="宋体" w:cs="宋体"/>
          <w:color w:val="auto"/>
          <w:kern w:val="2"/>
          <w:sz w:val="21"/>
          <w:szCs w:val="21"/>
          <w:lang w:val="en-US" w:eastAsia="zh-CN" w:bidi="ar-SA"/>
        </w:rPr>
        <w:t>区级集团联盟校校本教研交流展示活动（二）。</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422" w:firstLineChars="200"/>
        <w:textAlignment w:val="auto"/>
        <w:rPr>
          <w:rFonts w:hint="default" w:ascii="宋体" w:hAnsi="宋体" w:eastAsia="宋体" w:cs="宋体"/>
          <w:b/>
          <w:bCs/>
          <w:color w:val="auto"/>
          <w:kern w:val="2"/>
          <w:sz w:val="21"/>
          <w:szCs w:val="21"/>
          <w:lang w:val="en-US" w:eastAsia="zh-CN" w:bidi="ar-SA"/>
        </w:rPr>
      </w:pPr>
      <w:r>
        <w:rPr>
          <w:rFonts w:hint="eastAsia" w:ascii="宋体" w:hAnsi="宋体" w:eastAsia="宋体" w:cs="宋体"/>
          <w:b/>
          <w:bCs/>
          <w:color w:val="auto"/>
          <w:kern w:val="2"/>
          <w:sz w:val="21"/>
          <w:szCs w:val="21"/>
          <w:lang w:val="en-US" w:eastAsia="zh-CN" w:bidi="ar-SA"/>
        </w:rPr>
        <w:t>六月份：</w:t>
      </w:r>
    </w:p>
    <w:p>
      <w:pPr>
        <w:pStyle w:val="4"/>
        <w:rPr>
          <w:rFonts w:hint="default"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1.新教师课堂教学展示活动。</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2.期末样本卷编制工作。</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3.期末结束相关工作。</w:t>
      </w:r>
    </w:p>
    <w:p>
      <w:pPr>
        <w:spacing w:line="360" w:lineRule="auto"/>
        <w:ind w:firstLine="482" w:firstLineChars="200"/>
        <w:rPr>
          <w:rFonts w:hint="eastAsia" w:ascii="宋体" w:hAnsi="宋体" w:eastAsia="宋体" w:cs="宋体"/>
          <w:color w:val="auto"/>
          <w:kern w:val="2"/>
          <w:sz w:val="21"/>
          <w:szCs w:val="21"/>
          <w:lang w:val="en-US" w:eastAsia="zh-CN" w:bidi="ar-SA"/>
        </w:rPr>
      </w:pPr>
      <w:r>
        <w:rPr>
          <w:rFonts w:hint="eastAsia" w:ascii="宋体" w:hAnsi="宋体" w:cs="宋体"/>
          <w:b/>
          <w:bCs/>
          <w:color w:val="000000"/>
          <w:kern w:val="0"/>
          <w:sz w:val="24"/>
          <w:szCs w:val="24"/>
          <w:lang w:val="en-US" w:eastAsia="zh-CN"/>
        </w:rPr>
        <w:t>五、</w:t>
      </w:r>
      <w:r>
        <w:rPr>
          <w:rFonts w:hint="eastAsia" w:ascii="宋体" w:hAnsi="宋体" w:eastAsia="宋体" w:cs="宋体"/>
          <w:b/>
          <w:bCs/>
          <w:color w:val="000000"/>
          <w:kern w:val="0"/>
          <w:sz w:val="24"/>
          <w:szCs w:val="24"/>
          <w:lang w:val="en-US" w:eastAsia="zh-CN"/>
        </w:rPr>
        <w:t>主要活动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7"/>
        <w:gridCol w:w="1936"/>
        <w:gridCol w:w="2655"/>
        <w:gridCol w:w="22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trPr>
        <w:tc>
          <w:tcPr>
            <w:tcW w:w="1697" w:type="dxa"/>
          </w:tcPr>
          <w:p>
            <w:pPr>
              <w:pStyle w:val="2"/>
              <w:rPr>
                <w:rFonts w:hint="default"/>
                <w:vertAlign w:val="baseline"/>
                <w:lang w:val="en-US" w:eastAsia="zh-CN"/>
              </w:rPr>
            </w:pPr>
            <w:r>
              <w:rPr>
                <w:rFonts w:hint="eastAsia" w:ascii="Calibri" w:hAnsi="Calibri" w:eastAsia="宋体" w:cs="Times New Roman"/>
                <w:color w:val="161616"/>
                <w:kern w:val="2"/>
                <w:sz w:val="24"/>
                <w:szCs w:val="24"/>
                <w:vertAlign w:val="baseline"/>
                <w:lang w:val="en-US" w:eastAsia="zh-CN" w:bidi="ar-SA"/>
              </w:rPr>
              <w:t>时间</w:t>
            </w:r>
          </w:p>
        </w:tc>
        <w:tc>
          <w:tcPr>
            <w:tcW w:w="1936" w:type="dxa"/>
          </w:tcPr>
          <w:p>
            <w:pPr>
              <w:pStyle w:val="2"/>
              <w:rPr>
                <w:rFonts w:hint="default"/>
                <w:vertAlign w:val="baseline"/>
                <w:lang w:val="en-US" w:eastAsia="zh-CN"/>
              </w:rPr>
            </w:pPr>
            <w:r>
              <w:rPr>
                <w:rFonts w:hint="eastAsia"/>
                <w:vertAlign w:val="baseline"/>
                <w:lang w:val="en-US" w:eastAsia="zh-CN"/>
              </w:rPr>
              <w:t>地点</w:t>
            </w:r>
          </w:p>
        </w:tc>
        <w:tc>
          <w:tcPr>
            <w:tcW w:w="2655" w:type="dxa"/>
          </w:tcPr>
          <w:p>
            <w:pPr>
              <w:pStyle w:val="2"/>
              <w:ind w:firstLine="420" w:firstLineChars="200"/>
              <w:rPr>
                <w:rFonts w:hint="default"/>
                <w:vertAlign w:val="baseline"/>
                <w:lang w:val="en-US" w:eastAsia="zh-CN"/>
              </w:rPr>
            </w:pPr>
            <w:r>
              <w:rPr>
                <w:rFonts w:hint="eastAsia"/>
                <w:vertAlign w:val="baseline"/>
                <w:lang w:val="en-US" w:eastAsia="zh-CN"/>
              </w:rPr>
              <w:t>内容</w:t>
            </w:r>
          </w:p>
        </w:tc>
        <w:tc>
          <w:tcPr>
            <w:tcW w:w="2234" w:type="dxa"/>
          </w:tcPr>
          <w:p>
            <w:pPr>
              <w:pStyle w:val="2"/>
              <w:rPr>
                <w:rFonts w:hint="default"/>
                <w:vertAlign w:val="baseline"/>
                <w:lang w:val="en-US" w:eastAsia="zh-CN"/>
              </w:rPr>
            </w:pPr>
            <w:r>
              <w:rPr>
                <w:rFonts w:hint="eastAsia"/>
                <w:vertAlign w:val="baseline"/>
                <w:lang w:val="en-US" w:eastAsia="zh-CN"/>
              </w:rPr>
              <w:t>人员安排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7" w:type="dxa"/>
          </w:tcPr>
          <w:p>
            <w:pPr>
              <w:pStyle w:val="2"/>
              <w:rPr>
                <w:rFonts w:hint="default"/>
                <w:vertAlign w:val="baseline"/>
                <w:lang w:val="en-US" w:eastAsia="zh-CN"/>
              </w:rPr>
            </w:pPr>
            <w:r>
              <w:rPr>
                <w:rFonts w:hint="eastAsia"/>
                <w:vertAlign w:val="baseline"/>
                <w:lang w:val="en-US" w:eastAsia="zh-CN"/>
              </w:rPr>
              <w:t>2.29</w:t>
            </w:r>
          </w:p>
        </w:tc>
        <w:tc>
          <w:tcPr>
            <w:tcW w:w="1936" w:type="dxa"/>
          </w:tcPr>
          <w:p>
            <w:pPr>
              <w:pStyle w:val="2"/>
              <w:rPr>
                <w:rFonts w:hint="default"/>
                <w:vertAlign w:val="baseline"/>
                <w:lang w:val="en-US" w:eastAsia="zh-CN"/>
              </w:rPr>
            </w:pPr>
            <w:r>
              <w:rPr>
                <w:rFonts w:hint="eastAsia"/>
                <w:vertAlign w:val="baseline"/>
                <w:lang w:val="en-US" w:eastAsia="zh-CN"/>
              </w:rPr>
              <w:t>会议室</w:t>
            </w:r>
          </w:p>
        </w:tc>
        <w:tc>
          <w:tcPr>
            <w:tcW w:w="2655" w:type="dxa"/>
          </w:tcPr>
          <w:p>
            <w:pPr>
              <w:pStyle w:val="2"/>
              <w:rPr>
                <w:rFonts w:hint="default"/>
                <w:vertAlign w:val="baseline"/>
                <w:lang w:val="en-US" w:eastAsia="zh-CN"/>
              </w:rPr>
            </w:pPr>
            <w:r>
              <w:rPr>
                <w:rFonts w:hint="eastAsia"/>
                <w:vertAlign w:val="baseline"/>
                <w:lang w:val="en-US" w:eastAsia="zh-CN"/>
              </w:rPr>
              <w:t>学习区教研中的学科素养</w:t>
            </w:r>
          </w:p>
        </w:tc>
        <w:tc>
          <w:tcPr>
            <w:tcW w:w="2234" w:type="dxa"/>
          </w:tcPr>
          <w:p>
            <w:pPr>
              <w:pStyle w:val="2"/>
              <w:rPr>
                <w:rFonts w:hint="default"/>
                <w:vertAlign w:val="baseline"/>
                <w:lang w:val="en-US" w:eastAsia="zh-CN"/>
              </w:rPr>
            </w:pPr>
            <w:r>
              <w:rPr>
                <w:rFonts w:hint="eastAsia"/>
                <w:vertAlign w:val="baseline"/>
                <w:lang w:val="en-US" w:eastAsia="zh-CN"/>
              </w:rPr>
              <w:t>全体数学老师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7" w:type="dxa"/>
          </w:tcPr>
          <w:p>
            <w:pPr>
              <w:pStyle w:val="2"/>
              <w:rPr>
                <w:rFonts w:hint="default"/>
                <w:vertAlign w:val="baseline"/>
                <w:lang w:val="en-US" w:eastAsia="zh-CN"/>
              </w:rPr>
            </w:pPr>
            <w:r>
              <w:rPr>
                <w:rFonts w:hint="eastAsia"/>
                <w:vertAlign w:val="baseline"/>
                <w:lang w:val="en-US" w:eastAsia="zh-CN"/>
              </w:rPr>
              <w:t>3.7</w:t>
            </w:r>
          </w:p>
        </w:tc>
        <w:tc>
          <w:tcPr>
            <w:tcW w:w="1936" w:type="dxa"/>
          </w:tcPr>
          <w:p>
            <w:pPr>
              <w:pStyle w:val="2"/>
              <w:rPr>
                <w:rFonts w:hint="default"/>
                <w:vertAlign w:val="baseline"/>
                <w:lang w:val="en-US" w:eastAsia="zh-CN"/>
              </w:rPr>
            </w:pPr>
            <w:r>
              <w:rPr>
                <w:rFonts w:hint="eastAsia"/>
                <w:vertAlign w:val="baseline"/>
                <w:lang w:val="en-US" w:eastAsia="zh-CN"/>
              </w:rPr>
              <w:t>录播教室</w:t>
            </w:r>
          </w:p>
        </w:tc>
        <w:tc>
          <w:tcPr>
            <w:tcW w:w="2655" w:type="dxa"/>
          </w:tcPr>
          <w:p>
            <w:pPr>
              <w:pStyle w:val="2"/>
              <w:rPr>
                <w:rFonts w:hint="default"/>
                <w:vertAlign w:val="baseline"/>
                <w:lang w:val="en-US" w:eastAsia="zh-CN"/>
              </w:rPr>
            </w:pPr>
            <w:r>
              <w:rPr>
                <w:rFonts w:hint="eastAsia"/>
                <w:vertAlign w:val="baseline"/>
                <w:lang w:val="en-US" w:eastAsia="zh-CN"/>
              </w:rPr>
              <w:t>基本功训练</w:t>
            </w:r>
          </w:p>
        </w:tc>
        <w:tc>
          <w:tcPr>
            <w:tcW w:w="2234" w:type="dxa"/>
          </w:tcPr>
          <w:p>
            <w:pPr>
              <w:pStyle w:val="2"/>
              <w:rPr>
                <w:rFonts w:hint="eastAsia"/>
                <w:vertAlign w:val="baseline"/>
                <w:lang w:val="en-US" w:eastAsia="zh-CN"/>
              </w:rPr>
            </w:pPr>
            <w:r>
              <w:rPr>
                <w:rFonts w:hint="eastAsia"/>
                <w:vertAlign w:val="baseline"/>
                <w:lang w:val="en-US" w:eastAsia="zh-CN"/>
              </w:rPr>
              <w:t>全体数学老师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7" w:type="dxa"/>
          </w:tcPr>
          <w:p>
            <w:pPr>
              <w:pStyle w:val="2"/>
              <w:rPr>
                <w:rFonts w:hint="default"/>
                <w:vertAlign w:val="baseline"/>
                <w:lang w:val="en-US" w:eastAsia="zh-CN"/>
              </w:rPr>
            </w:pPr>
            <w:r>
              <w:rPr>
                <w:rFonts w:hint="eastAsia"/>
                <w:vertAlign w:val="baseline"/>
                <w:lang w:val="en-US" w:eastAsia="zh-CN"/>
              </w:rPr>
              <w:t>3.14</w:t>
            </w:r>
          </w:p>
        </w:tc>
        <w:tc>
          <w:tcPr>
            <w:tcW w:w="1936" w:type="dxa"/>
            <w:vAlign w:val="top"/>
          </w:tcPr>
          <w:p>
            <w:pPr>
              <w:pStyle w:val="2"/>
              <w:ind w:left="420" w:leftChars="200"/>
              <w:rPr>
                <w:rFonts w:hint="default"/>
                <w:vertAlign w:val="baseline"/>
                <w:lang w:val="en-US" w:eastAsia="zh-CN"/>
              </w:rPr>
            </w:pPr>
            <w:r>
              <w:rPr>
                <w:rFonts w:hint="eastAsia"/>
                <w:vertAlign w:val="baseline"/>
                <w:lang w:val="en-US" w:eastAsia="zh-CN"/>
              </w:rPr>
              <w:t>录播教室</w:t>
            </w:r>
          </w:p>
        </w:tc>
        <w:tc>
          <w:tcPr>
            <w:tcW w:w="2655" w:type="dxa"/>
            <w:vAlign w:val="top"/>
          </w:tcPr>
          <w:p>
            <w:pPr>
              <w:pStyle w:val="2"/>
              <w:ind w:left="420" w:leftChars="200"/>
              <w:rPr>
                <w:rFonts w:hint="eastAsia"/>
                <w:vertAlign w:val="baseline"/>
                <w:lang w:val="en-US" w:eastAsia="zh-CN"/>
              </w:rPr>
            </w:pPr>
            <w:r>
              <w:rPr>
                <w:rFonts w:hint="eastAsia"/>
                <w:vertAlign w:val="baseline"/>
                <w:lang w:val="en-US" w:eastAsia="zh-CN"/>
              </w:rPr>
              <w:t>基本功训练</w:t>
            </w:r>
          </w:p>
        </w:tc>
        <w:tc>
          <w:tcPr>
            <w:tcW w:w="2234" w:type="dxa"/>
          </w:tcPr>
          <w:p>
            <w:pPr>
              <w:pStyle w:val="2"/>
              <w:rPr>
                <w:rFonts w:hint="eastAsia"/>
                <w:vertAlign w:val="baseline"/>
                <w:lang w:val="en-US" w:eastAsia="zh-CN"/>
              </w:rPr>
            </w:pPr>
            <w:r>
              <w:rPr>
                <w:rFonts w:hint="eastAsia"/>
                <w:vertAlign w:val="baseline"/>
                <w:lang w:val="en-US" w:eastAsia="zh-CN"/>
              </w:rPr>
              <w:t>全体数学老师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7" w:type="dxa"/>
          </w:tcPr>
          <w:p>
            <w:pPr>
              <w:pStyle w:val="2"/>
              <w:rPr>
                <w:rFonts w:hint="default"/>
                <w:vertAlign w:val="baseline"/>
                <w:lang w:val="en-US" w:eastAsia="zh-CN"/>
              </w:rPr>
            </w:pPr>
            <w:r>
              <w:rPr>
                <w:rFonts w:hint="eastAsia"/>
                <w:vertAlign w:val="baseline"/>
                <w:lang w:val="en-US" w:eastAsia="zh-CN"/>
              </w:rPr>
              <w:t>3.21</w:t>
            </w:r>
          </w:p>
        </w:tc>
        <w:tc>
          <w:tcPr>
            <w:tcW w:w="1936" w:type="dxa"/>
            <w:vAlign w:val="top"/>
          </w:tcPr>
          <w:p>
            <w:pPr>
              <w:pStyle w:val="2"/>
              <w:ind w:left="420" w:leftChars="200"/>
              <w:rPr>
                <w:rFonts w:hint="default"/>
                <w:vertAlign w:val="baseline"/>
                <w:lang w:val="en-US" w:eastAsia="zh-CN"/>
              </w:rPr>
            </w:pPr>
            <w:r>
              <w:rPr>
                <w:rFonts w:hint="eastAsia"/>
                <w:vertAlign w:val="baseline"/>
                <w:lang w:val="en-US" w:eastAsia="zh-CN"/>
              </w:rPr>
              <w:t>录播教室</w:t>
            </w:r>
          </w:p>
        </w:tc>
        <w:tc>
          <w:tcPr>
            <w:tcW w:w="2655" w:type="dxa"/>
            <w:vAlign w:val="top"/>
          </w:tcPr>
          <w:p>
            <w:pPr>
              <w:pStyle w:val="2"/>
              <w:ind w:left="420" w:leftChars="200"/>
              <w:rPr>
                <w:rFonts w:hint="default"/>
                <w:vertAlign w:val="baseline"/>
                <w:lang w:val="en-US" w:eastAsia="zh-CN"/>
              </w:rPr>
            </w:pPr>
            <w:r>
              <w:rPr>
                <w:rFonts w:hint="eastAsia"/>
                <w:vertAlign w:val="baseline"/>
                <w:lang w:val="en-US" w:eastAsia="zh-CN"/>
              </w:rPr>
              <w:t>基本功训练</w:t>
            </w:r>
          </w:p>
        </w:tc>
        <w:tc>
          <w:tcPr>
            <w:tcW w:w="2234" w:type="dxa"/>
          </w:tcPr>
          <w:p>
            <w:pPr>
              <w:pStyle w:val="2"/>
              <w:rPr>
                <w:rFonts w:hint="eastAsia"/>
                <w:vertAlign w:val="baseline"/>
                <w:lang w:val="en-US" w:eastAsia="zh-CN"/>
              </w:rPr>
            </w:pPr>
            <w:r>
              <w:rPr>
                <w:rFonts w:hint="eastAsia"/>
                <w:vertAlign w:val="baseline"/>
                <w:lang w:val="en-US" w:eastAsia="zh-CN"/>
              </w:rPr>
              <w:t>全体数学老师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7" w:type="dxa"/>
          </w:tcPr>
          <w:p>
            <w:pPr>
              <w:pStyle w:val="2"/>
              <w:rPr>
                <w:rFonts w:hint="default"/>
                <w:vertAlign w:val="baseline"/>
                <w:lang w:val="en-US" w:eastAsia="zh-CN"/>
              </w:rPr>
            </w:pPr>
            <w:r>
              <w:rPr>
                <w:rFonts w:hint="eastAsia"/>
                <w:vertAlign w:val="baseline"/>
                <w:lang w:val="en-US" w:eastAsia="zh-CN"/>
              </w:rPr>
              <w:t>3.28（待定）</w:t>
            </w:r>
          </w:p>
        </w:tc>
        <w:tc>
          <w:tcPr>
            <w:tcW w:w="1936" w:type="dxa"/>
          </w:tcPr>
          <w:p>
            <w:pPr>
              <w:pStyle w:val="2"/>
              <w:rPr>
                <w:rFonts w:hint="default"/>
                <w:vertAlign w:val="baseline"/>
                <w:lang w:val="en-US" w:eastAsia="zh-CN"/>
              </w:rPr>
            </w:pPr>
            <w:r>
              <w:rPr>
                <w:rFonts w:hint="eastAsia"/>
                <w:vertAlign w:val="baseline"/>
                <w:lang w:val="en-US" w:eastAsia="zh-CN"/>
              </w:rPr>
              <w:t>区</w:t>
            </w:r>
          </w:p>
        </w:tc>
        <w:tc>
          <w:tcPr>
            <w:tcW w:w="2655" w:type="dxa"/>
          </w:tcPr>
          <w:p>
            <w:pPr>
              <w:pStyle w:val="2"/>
              <w:ind w:left="420" w:leftChars="200"/>
              <w:rPr>
                <w:rFonts w:hint="eastAsia"/>
                <w:vertAlign w:val="baseline"/>
                <w:lang w:val="en-US" w:eastAsia="zh-CN"/>
              </w:rPr>
            </w:pPr>
            <w:r>
              <w:rPr>
                <w:rFonts w:hint="eastAsia" w:ascii="Times New Roman" w:hAnsi="Times New Roman" w:eastAsia="宋体" w:cs="Times New Roman"/>
                <w:vertAlign w:val="baseline"/>
                <w:lang w:val="en-US" w:eastAsia="zh-CN"/>
              </w:rPr>
              <w:t>区级集团联盟校校本教研交流展示活动（一）。</w:t>
            </w:r>
          </w:p>
        </w:tc>
        <w:tc>
          <w:tcPr>
            <w:tcW w:w="2234" w:type="dxa"/>
          </w:tcPr>
          <w:p>
            <w:pPr>
              <w:pStyle w:val="2"/>
              <w:rPr>
                <w:rFonts w:hint="default"/>
                <w:vertAlign w:val="baseline"/>
                <w:lang w:val="en-US" w:eastAsia="zh-CN"/>
              </w:rPr>
            </w:pPr>
            <w:r>
              <w:rPr>
                <w:rFonts w:hint="eastAsia"/>
                <w:vertAlign w:val="baseline"/>
                <w:lang w:val="en-US" w:eastAsia="zh-CN"/>
              </w:rPr>
              <w:t>40周岁以下数学老师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7" w:type="dxa"/>
          </w:tcPr>
          <w:p>
            <w:pPr>
              <w:pStyle w:val="2"/>
              <w:rPr>
                <w:rFonts w:hint="default"/>
                <w:vertAlign w:val="baseline"/>
                <w:lang w:val="en-US" w:eastAsia="zh-CN"/>
              </w:rPr>
            </w:pPr>
            <w:r>
              <w:rPr>
                <w:rFonts w:hint="eastAsia"/>
                <w:vertAlign w:val="baseline"/>
                <w:lang w:val="en-US" w:eastAsia="zh-CN"/>
              </w:rPr>
              <w:t>4.11</w:t>
            </w:r>
          </w:p>
        </w:tc>
        <w:tc>
          <w:tcPr>
            <w:tcW w:w="1936" w:type="dxa"/>
          </w:tcPr>
          <w:p>
            <w:pPr>
              <w:pStyle w:val="2"/>
              <w:rPr>
                <w:rFonts w:hint="default"/>
                <w:vertAlign w:val="baseline"/>
                <w:lang w:val="en-US" w:eastAsia="zh-CN"/>
              </w:rPr>
            </w:pPr>
            <w:r>
              <w:rPr>
                <w:rFonts w:hint="eastAsia"/>
                <w:vertAlign w:val="baseline"/>
                <w:lang w:val="en-US" w:eastAsia="zh-CN"/>
              </w:rPr>
              <w:t>阶梯教室</w:t>
            </w:r>
          </w:p>
        </w:tc>
        <w:tc>
          <w:tcPr>
            <w:tcW w:w="2655" w:type="dxa"/>
          </w:tcPr>
          <w:p>
            <w:pPr>
              <w:pStyle w:val="2"/>
              <w:rPr>
                <w:rFonts w:hint="default"/>
                <w:vertAlign w:val="baseline"/>
                <w:lang w:val="en-US" w:eastAsia="zh-CN"/>
              </w:rPr>
            </w:pPr>
            <w:r>
              <w:rPr>
                <w:rFonts w:hint="eastAsia"/>
                <w:vertAlign w:val="baseline"/>
                <w:lang w:val="en-US" w:eastAsia="zh-CN"/>
              </w:rPr>
              <w:t>周涵练兵课</w:t>
            </w:r>
          </w:p>
        </w:tc>
        <w:tc>
          <w:tcPr>
            <w:tcW w:w="2234" w:type="dxa"/>
          </w:tcPr>
          <w:p>
            <w:pPr>
              <w:pStyle w:val="2"/>
              <w:rPr>
                <w:rFonts w:hint="eastAsia"/>
                <w:vertAlign w:val="baseline"/>
                <w:lang w:val="en-US" w:eastAsia="zh-CN"/>
              </w:rPr>
            </w:pPr>
            <w:r>
              <w:rPr>
                <w:rFonts w:hint="eastAsia"/>
                <w:vertAlign w:val="baseline"/>
                <w:lang w:val="en-US" w:eastAsia="zh-CN"/>
              </w:rPr>
              <w:t>全体数学老师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7" w:type="dxa"/>
          </w:tcPr>
          <w:p>
            <w:pPr>
              <w:ind w:firstLine="420" w:firstLineChars="200"/>
              <w:rPr>
                <w:rFonts w:hint="default"/>
                <w:lang w:val="en-US" w:eastAsia="zh-CN"/>
              </w:rPr>
            </w:pPr>
            <w:r>
              <w:rPr>
                <w:rFonts w:hint="eastAsia"/>
                <w:lang w:val="en-US" w:eastAsia="zh-CN"/>
              </w:rPr>
              <w:t>4.18（待定）</w:t>
            </w:r>
          </w:p>
        </w:tc>
        <w:tc>
          <w:tcPr>
            <w:tcW w:w="1936" w:type="dxa"/>
          </w:tcPr>
          <w:p>
            <w:pPr>
              <w:pStyle w:val="2"/>
              <w:rPr>
                <w:rFonts w:hint="default"/>
                <w:vertAlign w:val="baseline"/>
                <w:lang w:val="en-US" w:eastAsia="zh-CN"/>
              </w:rPr>
            </w:pPr>
            <w:r>
              <w:rPr>
                <w:rFonts w:hint="eastAsia"/>
                <w:vertAlign w:val="baseline"/>
                <w:lang w:val="en-US" w:eastAsia="zh-CN"/>
              </w:rPr>
              <w:t>市</w:t>
            </w:r>
          </w:p>
        </w:tc>
        <w:tc>
          <w:tcPr>
            <w:tcW w:w="2655" w:type="dxa"/>
          </w:tcPr>
          <w:p>
            <w:pPr>
              <w:pStyle w:val="2"/>
              <w:rPr>
                <w:rFonts w:hint="default"/>
                <w:vertAlign w:val="baseline"/>
                <w:lang w:val="en-US" w:eastAsia="zh-CN"/>
              </w:rPr>
            </w:pPr>
            <w:r>
              <w:rPr>
                <w:rFonts w:hint="eastAsia"/>
                <w:vertAlign w:val="baseline"/>
                <w:lang w:val="en-US" w:eastAsia="zh-CN"/>
              </w:rPr>
              <w:t>观摩市级教研活动</w:t>
            </w:r>
          </w:p>
        </w:tc>
        <w:tc>
          <w:tcPr>
            <w:tcW w:w="2234" w:type="dxa"/>
          </w:tcPr>
          <w:p>
            <w:pPr>
              <w:pStyle w:val="2"/>
              <w:rPr>
                <w:rFonts w:hint="eastAsia"/>
                <w:vertAlign w:val="baseline"/>
                <w:lang w:val="en-US" w:eastAsia="zh-CN"/>
              </w:rPr>
            </w:pPr>
            <w:r>
              <w:rPr>
                <w:rFonts w:hint="eastAsia"/>
                <w:vertAlign w:val="baseline"/>
                <w:lang w:val="en-US" w:eastAsia="zh-CN"/>
              </w:rPr>
              <w:t>40周岁以下数学老师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7" w:type="dxa"/>
          </w:tcPr>
          <w:p>
            <w:pPr>
              <w:pStyle w:val="2"/>
              <w:rPr>
                <w:rFonts w:hint="default"/>
                <w:vertAlign w:val="baseline"/>
                <w:lang w:val="en-US" w:eastAsia="zh-CN"/>
              </w:rPr>
            </w:pPr>
            <w:r>
              <w:rPr>
                <w:rFonts w:hint="eastAsia"/>
                <w:vertAlign w:val="baseline"/>
                <w:lang w:val="en-US" w:eastAsia="zh-CN"/>
              </w:rPr>
              <w:t>4.25（待定）</w:t>
            </w:r>
          </w:p>
        </w:tc>
        <w:tc>
          <w:tcPr>
            <w:tcW w:w="1936" w:type="dxa"/>
            <w:vAlign w:val="top"/>
          </w:tcPr>
          <w:p>
            <w:pPr>
              <w:pStyle w:val="2"/>
              <w:ind w:left="420" w:leftChars="200"/>
              <w:rPr>
                <w:rFonts w:hint="default"/>
                <w:vertAlign w:val="baseline"/>
                <w:lang w:val="en-US" w:eastAsia="zh-CN"/>
              </w:rPr>
            </w:pPr>
            <w:r>
              <w:rPr>
                <w:rFonts w:hint="eastAsia"/>
                <w:vertAlign w:val="baseline"/>
                <w:lang w:val="en-US" w:eastAsia="zh-CN"/>
              </w:rPr>
              <w:t>区</w:t>
            </w:r>
          </w:p>
        </w:tc>
        <w:tc>
          <w:tcPr>
            <w:tcW w:w="2655" w:type="dxa"/>
            <w:vAlign w:val="top"/>
          </w:tcPr>
          <w:p>
            <w:pPr>
              <w:pStyle w:val="2"/>
              <w:ind w:left="420" w:leftChars="200"/>
              <w:rPr>
                <w:rFonts w:hint="default"/>
                <w:vertAlign w:val="baseline"/>
                <w:lang w:val="en-US" w:eastAsia="zh-CN"/>
              </w:rPr>
            </w:pPr>
            <w:r>
              <w:rPr>
                <w:rFonts w:hint="eastAsia" w:ascii="Times New Roman" w:hAnsi="Times New Roman" w:eastAsia="宋体" w:cs="Times New Roman"/>
                <w:vertAlign w:val="baseline"/>
                <w:lang w:val="en-US" w:eastAsia="zh-CN"/>
              </w:rPr>
              <w:t>观摩聚焦新课标 赋能新课堂</w:t>
            </w:r>
          </w:p>
        </w:tc>
        <w:tc>
          <w:tcPr>
            <w:tcW w:w="2234" w:type="dxa"/>
            <w:vAlign w:val="top"/>
          </w:tcPr>
          <w:p>
            <w:pPr>
              <w:pStyle w:val="2"/>
              <w:ind w:left="420" w:leftChars="200"/>
              <w:rPr>
                <w:rFonts w:hint="eastAsia"/>
                <w:vertAlign w:val="baseline"/>
                <w:lang w:val="en-US" w:eastAsia="zh-CN"/>
              </w:rPr>
            </w:pPr>
            <w:r>
              <w:rPr>
                <w:rFonts w:hint="eastAsia"/>
                <w:vertAlign w:val="baseline"/>
                <w:lang w:val="en-US" w:eastAsia="zh-CN"/>
              </w:rPr>
              <w:t>40周岁以下数学老师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7" w:type="dxa"/>
          </w:tcPr>
          <w:p>
            <w:pPr>
              <w:ind w:firstLine="420" w:firstLineChars="200"/>
              <w:rPr>
                <w:rFonts w:hint="default"/>
                <w:lang w:val="en-US" w:eastAsia="zh-CN"/>
              </w:rPr>
            </w:pPr>
            <w:r>
              <w:rPr>
                <w:rFonts w:hint="eastAsia"/>
                <w:lang w:val="en-US" w:eastAsia="zh-CN"/>
              </w:rPr>
              <w:t>5.9</w:t>
            </w:r>
          </w:p>
        </w:tc>
        <w:tc>
          <w:tcPr>
            <w:tcW w:w="1936" w:type="dxa"/>
            <w:vAlign w:val="top"/>
          </w:tcPr>
          <w:p>
            <w:pPr>
              <w:pStyle w:val="2"/>
              <w:ind w:left="420" w:leftChars="200"/>
              <w:rPr>
                <w:rFonts w:hint="default" w:ascii="Calibri" w:hAnsi="Calibri" w:eastAsia="宋体" w:cs="Times New Roman"/>
                <w:color w:val="161616"/>
                <w:kern w:val="2"/>
                <w:sz w:val="24"/>
                <w:szCs w:val="24"/>
                <w:vertAlign w:val="baseline"/>
                <w:lang w:val="en-US" w:eastAsia="zh-CN" w:bidi="ar-SA"/>
              </w:rPr>
            </w:pPr>
            <w:r>
              <w:rPr>
                <w:rFonts w:hint="eastAsia"/>
                <w:vertAlign w:val="baseline"/>
                <w:lang w:val="en-US" w:eastAsia="zh-CN"/>
              </w:rPr>
              <w:t>阶梯教室</w:t>
            </w:r>
          </w:p>
        </w:tc>
        <w:tc>
          <w:tcPr>
            <w:tcW w:w="2655" w:type="dxa"/>
            <w:vAlign w:val="top"/>
          </w:tcPr>
          <w:p>
            <w:pPr>
              <w:pStyle w:val="2"/>
              <w:ind w:left="420" w:leftChars="200"/>
              <w:rPr>
                <w:rFonts w:hint="default" w:ascii="Times New Roman" w:hAnsi="Times New Roman" w:eastAsia="宋体" w:cs="Times New Roman"/>
                <w:kern w:val="2"/>
                <w:sz w:val="21"/>
                <w:szCs w:val="24"/>
                <w:vertAlign w:val="baseline"/>
                <w:lang w:val="en-US" w:eastAsia="zh-CN" w:bidi="ar-SA"/>
              </w:rPr>
            </w:pPr>
            <w:r>
              <w:rPr>
                <w:rFonts w:hint="eastAsia" w:ascii="Times New Roman" w:hAnsi="Times New Roman" w:eastAsia="宋体" w:cs="Times New Roman"/>
                <w:vertAlign w:val="baseline"/>
                <w:lang w:val="en-US" w:eastAsia="zh-CN"/>
              </w:rPr>
              <w:t>徐杏蕊练兵课</w:t>
            </w:r>
          </w:p>
        </w:tc>
        <w:tc>
          <w:tcPr>
            <w:tcW w:w="2234" w:type="dxa"/>
            <w:vAlign w:val="top"/>
          </w:tcPr>
          <w:p>
            <w:pPr>
              <w:pStyle w:val="2"/>
              <w:ind w:left="420" w:leftChars="200"/>
              <w:rPr>
                <w:rFonts w:hint="eastAsia" w:ascii="Calibri" w:hAnsi="Calibri" w:eastAsia="宋体" w:cs="Times New Roman"/>
                <w:color w:val="161616"/>
                <w:kern w:val="2"/>
                <w:sz w:val="24"/>
                <w:szCs w:val="24"/>
                <w:vertAlign w:val="baseline"/>
                <w:lang w:val="en-US" w:eastAsia="zh-CN" w:bidi="ar-SA"/>
              </w:rPr>
            </w:pPr>
            <w:r>
              <w:rPr>
                <w:rFonts w:hint="eastAsia"/>
                <w:vertAlign w:val="baseline"/>
                <w:lang w:val="en-US" w:eastAsia="zh-CN"/>
              </w:rPr>
              <w:t>全体数学老师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7" w:type="dxa"/>
          </w:tcPr>
          <w:p>
            <w:pPr>
              <w:ind w:firstLine="420" w:firstLineChars="200"/>
              <w:rPr>
                <w:rFonts w:hint="default"/>
                <w:vertAlign w:val="baseline"/>
                <w:lang w:val="en-US" w:eastAsia="zh-CN"/>
              </w:rPr>
            </w:pPr>
            <w:r>
              <w:rPr>
                <w:rFonts w:hint="eastAsia"/>
                <w:vertAlign w:val="baseline"/>
                <w:lang w:val="en-US" w:eastAsia="zh-CN"/>
              </w:rPr>
              <w:t>5.16</w:t>
            </w:r>
          </w:p>
        </w:tc>
        <w:tc>
          <w:tcPr>
            <w:tcW w:w="1936" w:type="dxa"/>
          </w:tcPr>
          <w:p>
            <w:pPr>
              <w:pStyle w:val="2"/>
              <w:rPr>
                <w:rFonts w:hint="eastAsia"/>
                <w:vertAlign w:val="baseline"/>
                <w:lang w:val="en-US" w:eastAsia="zh-CN"/>
              </w:rPr>
            </w:pPr>
            <w:r>
              <w:rPr>
                <w:rFonts w:hint="eastAsia"/>
                <w:vertAlign w:val="baseline"/>
                <w:lang w:val="en-US" w:eastAsia="zh-CN"/>
              </w:rPr>
              <w:t>阶梯教室</w:t>
            </w:r>
          </w:p>
        </w:tc>
        <w:tc>
          <w:tcPr>
            <w:tcW w:w="2655" w:type="dxa"/>
          </w:tcPr>
          <w:p>
            <w:pPr>
              <w:pStyle w:val="2"/>
              <w:rPr>
                <w:rFonts w:hint="default"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李楠练兵课</w:t>
            </w:r>
          </w:p>
        </w:tc>
        <w:tc>
          <w:tcPr>
            <w:tcW w:w="2234" w:type="dxa"/>
          </w:tcPr>
          <w:p>
            <w:pPr>
              <w:pStyle w:val="2"/>
              <w:rPr>
                <w:rFonts w:hint="eastAsia"/>
                <w:vertAlign w:val="baseline"/>
                <w:lang w:val="en-US" w:eastAsia="zh-CN"/>
              </w:rPr>
            </w:pPr>
            <w:r>
              <w:rPr>
                <w:rFonts w:hint="eastAsia"/>
                <w:vertAlign w:val="baseline"/>
                <w:lang w:val="en-US" w:eastAsia="zh-CN"/>
              </w:rPr>
              <w:t>全体数学老师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7" w:type="dxa"/>
          </w:tcPr>
          <w:p>
            <w:pPr>
              <w:ind w:firstLine="420" w:firstLineChars="200"/>
              <w:rPr>
                <w:rFonts w:hint="default"/>
                <w:vertAlign w:val="baseline"/>
                <w:lang w:val="en-US" w:eastAsia="zh-CN"/>
              </w:rPr>
            </w:pPr>
            <w:r>
              <w:rPr>
                <w:rFonts w:hint="eastAsia"/>
                <w:vertAlign w:val="baseline"/>
                <w:lang w:val="en-US" w:eastAsia="zh-CN"/>
              </w:rPr>
              <w:t>5.23（待定）</w:t>
            </w:r>
          </w:p>
        </w:tc>
        <w:tc>
          <w:tcPr>
            <w:tcW w:w="1936" w:type="dxa"/>
            <w:vAlign w:val="top"/>
          </w:tcPr>
          <w:p>
            <w:pPr>
              <w:pStyle w:val="2"/>
              <w:ind w:left="420" w:leftChars="200"/>
              <w:rPr>
                <w:rFonts w:hint="eastAsia" w:ascii="Times New Roman" w:hAnsi="Times New Roman" w:eastAsia="宋体" w:cs="Times New Roman"/>
                <w:kern w:val="2"/>
                <w:sz w:val="21"/>
                <w:szCs w:val="24"/>
                <w:vertAlign w:val="baseline"/>
                <w:lang w:val="en-US" w:eastAsia="zh-CN" w:bidi="ar-SA"/>
              </w:rPr>
            </w:pPr>
            <w:r>
              <w:rPr>
                <w:rFonts w:hint="eastAsia"/>
                <w:vertAlign w:val="baseline"/>
                <w:lang w:val="en-US" w:eastAsia="zh-CN"/>
              </w:rPr>
              <w:t>区</w:t>
            </w:r>
          </w:p>
        </w:tc>
        <w:tc>
          <w:tcPr>
            <w:tcW w:w="2655" w:type="dxa"/>
            <w:vAlign w:val="top"/>
          </w:tcPr>
          <w:p>
            <w:pPr>
              <w:pStyle w:val="2"/>
              <w:ind w:left="420" w:leftChars="200"/>
              <w:rPr>
                <w:rFonts w:hint="eastAsia" w:ascii="Times New Roman" w:hAnsi="Times New Roman" w:eastAsia="宋体" w:cs="Times New Roman"/>
                <w:kern w:val="2"/>
                <w:sz w:val="21"/>
                <w:szCs w:val="24"/>
                <w:vertAlign w:val="baseline"/>
                <w:lang w:val="en-US" w:eastAsia="zh-CN" w:bidi="ar-SA"/>
              </w:rPr>
            </w:pPr>
            <w:r>
              <w:rPr>
                <w:rFonts w:hint="eastAsia" w:ascii="Times New Roman" w:hAnsi="Times New Roman" w:eastAsia="宋体" w:cs="Times New Roman"/>
                <w:vertAlign w:val="baseline"/>
                <w:lang w:val="en-US" w:eastAsia="zh-CN"/>
              </w:rPr>
              <w:t>观摩聚焦新课标 赋能新课堂</w:t>
            </w:r>
          </w:p>
        </w:tc>
        <w:tc>
          <w:tcPr>
            <w:tcW w:w="2234" w:type="dxa"/>
            <w:vAlign w:val="top"/>
          </w:tcPr>
          <w:p>
            <w:pPr>
              <w:pStyle w:val="2"/>
              <w:ind w:left="420" w:leftChars="200"/>
              <w:rPr>
                <w:rFonts w:hint="eastAsia" w:ascii="Times New Roman" w:hAnsi="Times New Roman" w:eastAsia="宋体" w:cs="Times New Roman"/>
                <w:kern w:val="2"/>
                <w:sz w:val="21"/>
                <w:szCs w:val="24"/>
                <w:vertAlign w:val="baseline"/>
                <w:lang w:val="en-US" w:eastAsia="zh-CN" w:bidi="ar-SA"/>
              </w:rPr>
            </w:pPr>
            <w:r>
              <w:rPr>
                <w:rFonts w:hint="eastAsia"/>
                <w:vertAlign w:val="baseline"/>
                <w:lang w:val="en-US" w:eastAsia="zh-CN"/>
              </w:rPr>
              <w:t>40周岁以下数学老师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7" w:type="dxa"/>
            <w:vAlign w:val="top"/>
          </w:tcPr>
          <w:p>
            <w:pPr>
              <w:pStyle w:val="2"/>
              <w:ind w:left="420" w:leftChars="200"/>
              <w:rPr>
                <w:rFonts w:hint="default" w:ascii="Times New Roman" w:hAnsi="Times New Roman" w:eastAsia="宋体" w:cs="Times New Roman"/>
                <w:kern w:val="2"/>
                <w:sz w:val="21"/>
                <w:szCs w:val="24"/>
                <w:vertAlign w:val="baseline"/>
                <w:lang w:val="en-US" w:eastAsia="zh-CN" w:bidi="ar-SA"/>
              </w:rPr>
            </w:pPr>
            <w:r>
              <w:rPr>
                <w:rFonts w:hint="eastAsia"/>
                <w:vertAlign w:val="baseline"/>
                <w:lang w:val="en-US" w:eastAsia="zh-CN"/>
              </w:rPr>
              <w:t>5.30</w:t>
            </w:r>
          </w:p>
        </w:tc>
        <w:tc>
          <w:tcPr>
            <w:tcW w:w="1936" w:type="dxa"/>
            <w:vAlign w:val="top"/>
          </w:tcPr>
          <w:p>
            <w:pPr>
              <w:pStyle w:val="2"/>
              <w:ind w:left="420" w:leftChars="200"/>
              <w:rPr>
                <w:rFonts w:hint="default" w:ascii="Calibri" w:hAnsi="Calibri" w:eastAsia="宋体" w:cs="Times New Roman"/>
                <w:color w:val="161616"/>
                <w:kern w:val="2"/>
                <w:sz w:val="24"/>
                <w:szCs w:val="24"/>
                <w:vertAlign w:val="baseline"/>
                <w:lang w:val="en-US" w:eastAsia="zh-CN" w:bidi="ar-SA"/>
              </w:rPr>
            </w:pPr>
            <w:r>
              <w:rPr>
                <w:rFonts w:hint="eastAsia"/>
                <w:vertAlign w:val="baseline"/>
                <w:lang w:val="en-US" w:eastAsia="zh-CN"/>
              </w:rPr>
              <w:t>阶梯教室</w:t>
            </w:r>
          </w:p>
        </w:tc>
        <w:tc>
          <w:tcPr>
            <w:tcW w:w="2655" w:type="dxa"/>
            <w:vAlign w:val="top"/>
          </w:tcPr>
          <w:p>
            <w:pPr>
              <w:pStyle w:val="2"/>
              <w:ind w:left="420" w:leftChars="200"/>
              <w:rPr>
                <w:rFonts w:hint="default" w:ascii="Times New Roman" w:hAnsi="Times New Roman" w:eastAsia="宋体" w:cs="Times New Roman"/>
                <w:kern w:val="2"/>
                <w:sz w:val="21"/>
                <w:szCs w:val="24"/>
                <w:vertAlign w:val="baseline"/>
                <w:lang w:val="en-US" w:eastAsia="zh-CN" w:bidi="ar-SA"/>
              </w:rPr>
            </w:pPr>
            <w:r>
              <w:rPr>
                <w:rFonts w:hint="eastAsia" w:ascii="Times New Roman" w:hAnsi="Times New Roman" w:eastAsia="宋体" w:cs="Times New Roman"/>
                <w:vertAlign w:val="baseline"/>
                <w:lang w:val="en-US" w:eastAsia="zh-CN"/>
              </w:rPr>
              <w:t>袁晨红练兵课</w:t>
            </w:r>
          </w:p>
        </w:tc>
        <w:tc>
          <w:tcPr>
            <w:tcW w:w="2234" w:type="dxa"/>
            <w:vAlign w:val="top"/>
          </w:tcPr>
          <w:p>
            <w:pPr>
              <w:pStyle w:val="2"/>
              <w:ind w:left="420" w:leftChars="200"/>
              <w:rPr>
                <w:rFonts w:hint="eastAsia" w:ascii="Calibri" w:hAnsi="Calibri" w:eastAsia="宋体" w:cs="Times New Roman"/>
                <w:color w:val="161616"/>
                <w:kern w:val="2"/>
                <w:sz w:val="24"/>
                <w:szCs w:val="24"/>
                <w:vertAlign w:val="baseline"/>
                <w:lang w:val="en-US" w:eastAsia="zh-CN" w:bidi="ar-SA"/>
              </w:rPr>
            </w:pPr>
            <w:r>
              <w:rPr>
                <w:rFonts w:hint="eastAsia"/>
                <w:vertAlign w:val="baseline"/>
                <w:lang w:val="en-US" w:eastAsia="zh-CN"/>
              </w:rPr>
              <w:t>全体数学老师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7" w:type="dxa"/>
          </w:tcPr>
          <w:p>
            <w:pPr>
              <w:pStyle w:val="2"/>
              <w:rPr>
                <w:rFonts w:hint="default"/>
                <w:lang w:val="en-US" w:eastAsia="zh-CN"/>
              </w:rPr>
            </w:pPr>
            <w:r>
              <w:rPr>
                <w:rFonts w:hint="eastAsia"/>
                <w:lang w:val="en-US" w:eastAsia="zh-CN"/>
              </w:rPr>
              <w:t>6.6（待定）</w:t>
            </w:r>
          </w:p>
        </w:tc>
        <w:tc>
          <w:tcPr>
            <w:tcW w:w="1936" w:type="dxa"/>
            <w:vAlign w:val="top"/>
          </w:tcPr>
          <w:p>
            <w:pPr>
              <w:pStyle w:val="2"/>
              <w:ind w:left="420" w:leftChars="200"/>
              <w:rPr>
                <w:rFonts w:hint="default"/>
                <w:vertAlign w:val="baseline"/>
                <w:lang w:val="en-US" w:eastAsia="zh-CN"/>
              </w:rPr>
            </w:pPr>
            <w:r>
              <w:rPr>
                <w:rFonts w:hint="eastAsia"/>
                <w:vertAlign w:val="baseline"/>
                <w:lang w:val="en-US" w:eastAsia="zh-CN"/>
              </w:rPr>
              <w:t>区</w:t>
            </w:r>
          </w:p>
        </w:tc>
        <w:tc>
          <w:tcPr>
            <w:tcW w:w="2655" w:type="dxa"/>
            <w:vAlign w:val="top"/>
          </w:tcPr>
          <w:p>
            <w:pPr>
              <w:pStyle w:val="2"/>
              <w:rPr>
                <w:rFonts w:hint="default"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新教师课堂展示</w:t>
            </w:r>
          </w:p>
        </w:tc>
        <w:tc>
          <w:tcPr>
            <w:tcW w:w="2234" w:type="dxa"/>
            <w:vAlign w:val="top"/>
          </w:tcPr>
          <w:p>
            <w:pPr>
              <w:pStyle w:val="2"/>
              <w:ind w:left="420" w:leftChars="200"/>
              <w:rPr>
                <w:rFonts w:hint="eastAsia"/>
                <w:vertAlign w:val="baseline"/>
                <w:lang w:val="en-US" w:eastAsia="zh-CN"/>
              </w:rPr>
            </w:pPr>
            <w:r>
              <w:rPr>
                <w:rFonts w:hint="eastAsia"/>
                <w:vertAlign w:val="baseline"/>
                <w:lang w:val="en-US" w:eastAsia="zh-CN"/>
              </w:rPr>
              <w:t>40周岁以下数学老师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7" w:type="dxa"/>
          </w:tcPr>
          <w:p>
            <w:pPr>
              <w:pStyle w:val="2"/>
              <w:rPr>
                <w:rFonts w:hint="default"/>
                <w:vertAlign w:val="baseline"/>
                <w:lang w:val="en-US" w:eastAsia="zh-CN"/>
              </w:rPr>
            </w:pPr>
            <w:r>
              <w:rPr>
                <w:rFonts w:hint="eastAsia"/>
                <w:vertAlign w:val="baseline"/>
                <w:lang w:val="en-US" w:eastAsia="zh-CN"/>
              </w:rPr>
              <w:t>6.13</w:t>
            </w:r>
          </w:p>
        </w:tc>
        <w:tc>
          <w:tcPr>
            <w:tcW w:w="1936" w:type="dxa"/>
            <w:vAlign w:val="top"/>
          </w:tcPr>
          <w:p>
            <w:pPr>
              <w:pStyle w:val="2"/>
              <w:ind w:left="420" w:leftChars="200"/>
              <w:rPr>
                <w:rFonts w:hint="eastAsia" w:ascii="Calibri" w:hAnsi="Calibri" w:eastAsia="宋体" w:cs="Times New Roman"/>
                <w:color w:val="161616"/>
                <w:kern w:val="2"/>
                <w:sz w:val="24"/>
                <w:szCs w:val="24"/>
                <w:vertAlign w:val="baseline"/>
                <w:lang w:val="en-US" w:eastAsia="zh-CN" w:bidi="ar-SA"/>
              </w:rPr>
            </w:pPr>
            <w:r>
              <w:rPr>
                <w:rFonts w:hint="eastAsia"/>
                <w:vertAlign w:val="baseline"/>
                <w:lang w:val="en-US" w:eastAsia="zh-CN"/>
              </w:rPr>
              <w:t>阶梯教室</w:t>
            </w:r>
          </w:p>
        </w:tc>
        <w:tc>
          <w:tcPr>
            <w:tcW w:w="2655" w:type="dxa"/>
            <w:vAlign w:val="top"/>
          </w:tcPr>
          <w:p>
            <w:pPr>
              <w:pStyle w:val="2"/>
              <w:rPr>
                <w:rFonts w:hint="eastAsia"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汤溧萍练兵课</w:t>
            </w:r>
          </w:p>
        </w:tc>
        <w:tc>
          <w:tcPr>
            <w:tcW w:w="2234" w:type="dxa"/>
            <w:vAlign w:val="top"/>
          </w:tcPr>
          <w:p>
            <w:pPr>
              <w:pStyle w:val="2"/>
              <w:ind w:left="420" w:leftChars="200"/>
              <w:rPr>
                <w:rFonts w:hint="eastAsia" w:ascii="Calibri" w:hAnsi="Calibri" w:eastAsia="宋体" w:cs="Times New Roman"/>
                <w:color w:val="161616"/>
                <w:kern w:val="2"/>
                <w:sz w:val="24"/>
                <w:szCs w:val="24"/>
                <w:vertAlign w:val="baseline"/>
                <w:lang w:val="en-US" w:eastAsia="zh-CN" w:bidi="ar-SA"/>
              </w:rPr>
            </w:pPr>
            <w:r>
              <w:rPr>
                <w:rFonts w:hint="eastAsia"/>
                <w:vertAlign w:val="baseline"/>
                <w:lang w:val="en-US" w:eastAsia="zh-CN"/>
              </w:rPr>
              <w:t>全体数学老师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7" w:type="dxa"/>
          </w:tcPr>
          <w:p>
            <w:pPr>
              <w:pStyle w:val="2"/>
              <w:rPr>
                <w:rFonts w:hint="default"/>
                <w:vertAlign w:val="baseline"/>
                <w:lang w:val="en-US" w:eastAsia="zh-CN"/>
              </w:rPr>
            </w:pPr>
            <w:r>
              <w:rPr>
                <w:rFonts w:hint="eastAsia"/>
                <w:vertAlign w:val="baseline"/>
                <w:lang w:val="en-US" w:eastAsia="zh-CN"/>
              </w:rPr>
              <w:t>6.20</w:t>
            </w:r>
          </w:p>
        </w:tc>
        <w:tc>
          <w:tcPr>
            <w:tcW w:w="1936" w:type="dxa"/>
            <w:vAlign w:val="top"/>
          </w:tcPr>
          <w:p>
            <w:pPr>
              <w:pStyle w:val="2"/>
              <w:ind w:left="420" w:leftChars="200"/>
              <w:rPr>
                <w:rFonts w:hint="eastAsia" w:ascii="Calibri" w:hAnsi="Calibri" w:eastAsia="宋体" w:cs="Times New Roman"/>
                <w:color w:val="161616"/>
                <w:kern w:val="2"/>
                <w:sz w:val="24"/>
                <w:szCs w:val="24"/>
                <w:vertAlign w:val="baseline"/>
                <w:lang w:val="en-US" w:eastAsia="zh-CN" w:bidi="ar-SA"/>
              </w:rPr>
            </w:pPr>
            <w:r>
              <w:rPr>
                <w:rFonts w:hint="eastAsia"/>
                <w:vertAlign w:val="baseline"/>
                <w:lang w:val="en-US" w:eastAsia="zh-CN"/>
              </w:rPr>
              <w:t>会议室</w:t>
            </w:r>
          </w:p>
        </w:tc>
        <w:tc>
          <w:tcPr>
            <w:tcW w:w="2655" w:type="dxa"/>
            <w:vAlign w:val="top"/>
          </w:tcPr>
          <w:p>
            <w:pPr>
              <w:pStyle w:val="2"/>
              <w:ind w:left="420" w:leftChars="200"/>
              <w:rPr>
                <w:rFonts w:hint="eastAsia"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期末复习计划研讨</w:t>
            </w:r>
          </w:p>
        </w:tc>
        <w:tc>
          <w:tcPr>
            <w:tcW w:w="2234" w:type="dxa"/>
            <w:vAlign w:val="top"/>
          </w:tcPr>
          <w:p>
            <w:pPr>
              <w:pStyle w:val="2"/>
              <w:ind w:left="420" w:leftChars="200"/>
              <w:rPr>
                <w:rFonts w:hint="eastAsia" w:ascii="Calibri" w:hAnsi="Calibri" w:eastAsia="宋体" w:cs="Times New Roman"/>
                <w:color w:val="161616"/>
                <w:kern w:val="2"/>
                <w:sz w:val="24"/>
                <w:szCs w:val="24"/>
                <w:vertAlign w:val="baseline"/>
                <w:lang w:val="en-US" w:eastAsia="zh-CN" w:bidi="ar-SA"/>
              </w:rPr>
            </w:pPr>
            <w:r>
              <w:rPr>
                <w:rFonts w:hint="eastAsia"/>
                <w:vertAlign w:val="baseline"/>
                <w:lang w:val="en-US" w:eastAsia="zh-CN"/>
              </w:rPr>
              <w:t>全体数学老师</w:t>
            </w:r>
          </w:p>
        </w:tc>
      </w:tr>
    </w:tbl>
    <w:p>
      <w:pPr>
        <w:numPr>
          <w:ilvl w:val="0"/>
          <w:numId w:val="0"/>
        </w:numPr>
        <w:spacing w:before="156" w:beforeLines="50" w:after="156" w:afterLines="50"/>
        <w:rPr>
          <w:rFonts w:hint="default" w:ascii="宋体" w:hAnsi="宋体" w:eastAsia="宋体" w:cs="宋体"/>
          <w:b/>
          <w:bCs/>
          <w:color w:val="000000"/>
          <w:kern w:val="0"/>
          <w:sz w:val="24"/>
          <w:szCs w:val="24"/>
          <w:lang w:val="en-US" w:eastAsia="zh-CN"/>
        </w:rPr>
      </w:pPr>
      <w:bookmarkStart w:id="0" w:name="_GoBack"/>
      <w:bookmarkEnd w:id="0"/>
    </w:p>
    <w:p>
      <w:pPr>
        <w:pStyle w:val="8"/>
        <w:spacing w:line="300" w:lineRule="auto"/>
        <w:rPr>
          <w:rFonts w:hint="eastAsia" w:ascii="楷体" w:hAnsi="楷体" w:eastAsia="楷体" w:cs="楷体"/>
          <w:bCs/>
          <w:sz w:val="21"/>
          <w:szCs w:val="21"/>
          <w:lang w:val="en-US" w:eastAsia="zh-CN"/>
        </w:rPr>
      </w:pPr>
    </w:p>
    <w:p>
      <w:pPr>
        <w:pStyle w:val="8"/>
        <w:spacing w:line="300" w:lineRule="auto"/>
        <w:rPr>
          <w:rFonts w:hint="eastAsia" w:ascii="楷体" w:hAnsi="楷体" w:eastAsia="楷体" w:cs="楷体"/>
          <w:bCs/>
          <w:sz w:val="21"/>
          <w:szCs w:val="21"/>
          <w:lang w:eastAsia="zh-CN"/>
        </w:rPr>
      </w:pPr>
    </w:p>
    <w:p>
      <w:pPr>
        <w:pStyle w:val="8"/>
        <w:spacing w:line="300" w:lineRule="auto"/>
        <w:rPr>
          <w:rFonts w:ascii="楷体" w:hAnsi="楷体" w:eastAsia="楷体" w:cs="楷体"/>
          <w:bCs/>
          <w:sz w:val="21"/>
          <w:szCs w:val="21"/>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Arial Unicode MS">
    <w:panose1 w:val="020B0604020202020204"/>
    <w:charset w:val="86"/>
    <w:family w:val="swiss"/>
    <w:pitch w:val="default"/>
    <w:sig w:usb0="FFFFFFFF" w:usb1="E9FFFFFF" w:usb2="0000003F" w:usb3="00000000" w:csb0="603F01FF" w:csb1="FFFF0000"/>
  </w:font>
  <w:font w:name="楷体">
    <w:panose1 w:val="02010609060101010101"/>
    <w:charset w:val="86"/>
    <w:family w:val="modern"/>
    <w:pitch w:val="default"/>
    <w:sig w:usb0="800002BF" w:usb1="38CF7CFA" w:usb2="00000016" w:usb3="00000000" w:csb0="00040001" w:csb1="00000000"/>
  </w:font>
  <w:font w:name="PMingLiU">
    <w:altName w:val="Microsoft JhengHei UI"/>
    <w:panose1 w:val="02010601000101010101"/>
    <w:charset w:val="88"/>
    <w:family w:val="auto"/>
    <w:pitch w:val="default"/>
    <w:sig w:usb0="00000000" w:usb1="00000000" w:usb2="00000010" w:usb3="00000000" w:csb0="00100000" w:csb1="00000000"/>
  </w:font>
  <w:font w:name="Menlo Bold">
    <w:altName w:val="Segoe Print"/>
    <w:panose1 w:val="00000000000000000000"/>
    <w:charset w:val="00"/>
    <w:family w:val="auto"/>
    <w:pitch w:val="default"/>
    <w:sig w:usb0="00000000" w:usb1="00000000" w:usb2="00000028" w:usb3="00000000" w:csb0="000001DF" w:csb1="00000000"/>
  </w:font>
  <w:font w:name="Menlo Regular">
    <w:altName w:val="Segoe Print"/>
    <w:panose1 w:val="00000000000000000000"/>
    <w:charset w:val="00"/>
    <w:family w:val="auto"/>
    <w:pitch w:val="default"/>
    <w:sig w:usb0="00000000" w:usb1="00000000" w:usb2="02000028" w:usb3="00000000" w:csb0="000001DF" w:csb1="00000000"/>
  </w:font>
  <w:font w:name="楷体_GB2312">
    <w:altName w:val="楷体"/>
    <w:panose1 w:val="00000000000000000000"/>
    <w:charset w:val="86"/>
    <w:family w:val="modern"/>
    <w:pitch w:val="default"/>
    <w:sig w:usb0="00000000" w:usb1="00000000" w:usb2="00000010" w:usb3="00000000" w:csb0="00040000" w:csb1="00000000"/>
  </w:font>
  <w:font w:name="Microsoft JhengHei UI">
    <w:panose1 w:val="020B0604030504040204"/>
    <w:charset w:val="88"/>
    <w:family w:val="auto"/>
    <w:pitch w:val="default"/>
    <w:sig w:usb0="000002A7" w:usb1="28CF4400" w:usb2="00000016" w:usb3="00000000" w:csb0="00100009"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2YjA5ZTM1MTI1YjA0OGQ1YmE3ZWFkZTNhOTJhZjAifQ=="/>
  </w:docVars>
  <w:rsids>
    <w:rsidRoot w:val="2A384DF8"/>
    <w:rsid w:val="0106721E"/>
    <w:rsid w:val="04F74332"/>
    <w:rsid w:val="06D575E9"/>
    <w:rsid w:val="0BEF322E"/>
    <w:rsid w:val="2A384DF8"/>
    <w:rsid w:val="43C24475"/>
    <w:rsid w:val="4C854292"/>
    <w:rsid w:val="60CE5DB0"/>
    <w:rsid w:val="645111D2"/>
    <w:rsid w:val="70C515D2"/>
    <w:rsid w:val="7A8D64C2"/>
    <w:rsid w:val="7D341239"/>
    <w:rsid w:val="7E154B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toc 2"/>
    <w:basedOn w:val="1"/>
    <w:next w:val="1"/>
    <w:qFormat/>
    <w:uiPriority w:val="0"/>
    <w:pPr>
      <w:ind w:left="420" w:leftChars="200"/>
    </w:pPr>
    <w:rPr>
      <w:szCs w:val="24"/>
    </w:rPr>
  </w:style>
  <w:style w:type="paragraph" w:styleId="3">
    <w:name w:val="Body Text Indent"/>
    <w:basedOn w:val="1"/>
    <w:autoRedefine/>
    <w:uiPriority w:val="99"/>
    <w:pPr>
      <w:snapToGrid w:val="0"/>
      <w:spacing w:line="312" w:lineRule="auto"/>
      <w:ind w:firstLine="420"/>
    </w:pPr>
    <w:rPr>
      <w:rFonts w:ascii="Times New Roman" w:hAnsi="Times New Roman"/>
      <w:sz w:val="24"/>
    </w:rPr>
  </w:style>
  <w:style w:type="paragraph" w:styleId="4">
    <w:name w:val="Body Text Indent 2"/>
    <w:basedOn w:val="1"/>
    <w:qFormat/>
    <w:uiPriority w:val="0"/>
    <w:pPr>
      <w:ind w:left="420" w:leftChars="200"/>
    </w:pPr>
    <w:rPr>
      <w:rFonts w:ascii="Times New Roman" w:hAnsi="Times New Roman" w:eastAsia="宋体" w:cs="Times New Roman"/>
    </w:rPr>
  </w:style>
  <w:style w:type="table" w:styleId="6">
    <w:name w:val="Table Grid"/>
    <w:basedOn w:val="5"/>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正文1"/>
    <w:qFormat/>
    <w:uiPriority w:val="0"/>
    <w:rPr>
      <w:rFonts w:ascii="Helvetica" w:hAnsi="Arial Unicode MS" w:eastAsia="宋体" w:cs="Arial Unicode MS"/>
      <w:color w:val="000000"/>
      <w:sz w:val="22"/>
      <w:szCs w:val="22"/>
      <w:lang w:val="zh-TW" w:eastAsia="zh-TW" w:bidi="ar-SA"/>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3148</Words>
  <Characters>3210</Characters>
  <Lines>0</Lines>
  <Paragraphs>0</Paragraphs>
  <TotalTime>22</TotalTime>
  <ScaleCrop>false</ScaleCrop>
  <LinksUpToDate>false</LinksUpToDate>
  <CharactersWithSpaces>3246</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2023-02-06T02:32:00Z</dcterms:created>
  <dc:creator>小傻瓜</dc:creator>
  <cp:lastModifiedBy>叶子</cp:lastModifiedBy>
  <dcterms:modified xsi:type="dcterms:W3CDTF">2024-02-21T01:19:36Z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2CD88FDDACBB469A8384F25A13FD2C2B_13</vt:lpwstr>
  </property>
</Properties>
</file>