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常州市新北区新桥初级中学</w:t>
      </w:r>
      <w:r>
        <w:rPr>
          <w:rFonts w:hint="eastAsia"/>
          <w:sz w:val="44"/>
          <w:u w:val="single"/>
        </w:rPr>
        <w:t xml:space="preserve">      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      </w:t>
      </w:r>
      <w:r>
        <w:rPr>
          <w:rFonts w:hint="eastAsia"/>
          <w:sz w:val="44"/>
          <w:u w:val="single"/>
          <w:lang w:val="en-US" w:eastAsia="zh-CN"/>
        </w:rPr>
        <w:t xml:space="preserve">    陈丽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u w:val="single"/>
        </w:rPr>
        <w:t xml:space="preserve">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   </w:t>
      </w:r>
      <w:r>
        <w:rPr>
          <w:rFonts w:hint="eastAsia"/>
          <w:sz w:val="44"/>
          <w:u w:val="single"/>
          <w:lang w:val="en-US" w:eastAsia="zh-CN"/>
        </w:rPr>
        <w:t xml:space="preserve">   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>中学二级</w:t>
      </w:r>
      <w:r>
        <w:rPr>
          <w:rFonts w:hint="eastAsia"/>
          <w:sz w:val="44"/>
          <w:u w:val="single"/>
        </w:rPr>
        <w:t xml:space="preserve">      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 </w:t>
      </w:r>
      <w:r>
        <w:rPr>
          <w:rFonts w:hint="eastAsia"/>
          <w:sz w:val="44"/>
          <w:u w:val="single"/>
          <w:lang w:val="en-US" w:eastAsia="zh-CN"/>
        </w:rPr>
        <w:t xml:space="preserve">     18852956872</w:t>
      </w:r>
      <w:r>
        <w:rPr>
          <w:rFonts w:hint="eastAsia"/>
          <w:sz w:val="44"/>
          <w:u w:val="single"/>
        </w:rPr>
        <w:t xml:space="preserve">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陈丽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1996.7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共青团员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2018.8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化学教师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中学二级2019.10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常州市教坛新秀2022.1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创新实验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）项、市（  ）项、区（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）、市（  ）项排第（   ）、区（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）项排第（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核心（    ）篇、省级（ 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依托生活情境 优化复习设计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A3"/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>课题：参与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A3"/>
            </w:r>
            <w:r>
              <w:rPr>
                <w:rFonts w:hint="eastAsia" w:hAnsi="宋体"/>
                <w:color w:val="0000FF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>主持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A3"/>
            </w:r>
            <w:r>
              <w:rPr>
                <w:rFonts w:hint="eastAsia" w:hAnsi="宋体"/>
                <w:color w:val="0000FF"/>
                <w:szCs w:val="21"/>
              </w:rPr>
              <w:t xml:space="preserve">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1.积极参加教研培训和课题活动，学习优秀经验、提升个人素养；2.积极阅读，努力撰写科研论文，争取每年获奖与发表；3.学习教育理论，提高教学水平和管理能力，不断反思教学行为。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进行班级管理、班主任经验指导，给予锻炼机会聘用为班主任或教研组长，综合评定为考核优秀。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常州市教学能手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）节次    论文发表（ </w:t>
            </w:r>
            <w:r>
              <w:rPr>
                <w:rFonts w:hint="eastAsia" w:hAnsi="宋体"/>
                <w:color w:val="0000FF"/>
                <w:szCs w:val="21"/>
                <w:lang w:val="en-US" w:eastAsia="zh-CN"/>
              </w:rPr>
              <w:t>2</w:t>
            </w:r>
            <w:r>
              <w:rPr>
                <w:rFonts w:hint="eastAsia" w:hAnsi="宋体"/>
                <w:color w:val="0000FF"/>
                <w:szCs w:val="21"/>
              </w:rPr>
              <w:t xml:space="preserve">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/>
                <w:b/>
                <w:bCs/>
                <w:sz w:val="28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1.积极参加教研培训和课题活动，参与省级课题，主持区级课题；2.积极阅读，努力撰写科研论文，争取每年获奖与发表；3.学习教育理论，提高教学水平和管理能力，不断反思教学行为；4.积极参与基本功、评优课的比赛，在实践中磨练、提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组织活动和比赛，进行论文指导、课题指导和教科研指导。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4"/>
                <w:lang w:val="en-US" w:eastAsia="zh-CN" w:bidi="ar-SA"/>
              </w:rPr>
              <w:t>新北区骨干教师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  <w:t>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市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省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A3"/>
            </w:r>
            <w:r>
              <w:rPr>
                <w:rFonts w:hint="eastAsia" w:hAnsi="宋体"/>
                <w:color w:val="0000FF"/>
                <w:szCs w:val="21"/>
              </w:rPr>
              <w:t xml:space="preserve">     年度考核优秀</w:t>
            </w:r>
            <w:r>
              <w:rPr>
                <w:rFonts w:hint="eastAsia" w:hAnsi="宋体"/>
                <w:color w:val="0000FF"/>
                <w:szCs w:val="21"/>
              </w:rPr>
              <w:sym w:font="Wingdings 2" w:char="0052"/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1.积极参与课题研究，主持区级课题；2.撰写科研论文，争取每年获奖与发表；3.学习教育理论，提高教学水平和管理能力，争取班主任或教研组长机会以及年度考核优秀；4.积极参与基本功、评优课比赛；5.积极开设优质公开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进行班级管理、班主任经验指导，给予锻炼机会聘用为班主任或教研组长，综合评定为考核优秀。</w:t>
            </w: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化学教与学、化学教育、中学化学教学参考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参加评优课比赛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参与省级课题《指向高阶思维的初中化学微项目学习的实践研究》开设实践课并撰写论文</w:t>
            </w:r>
          </w:p>
          <w:p>
            <w:pPr>
              <w:spacing w:line="280" w:lineRule="exact"/>
              <w:rPr>
                <w:rFonts w:hint="default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主持区级课题《初中化学生成性教学的教学实践研究》开设实践课并撰写论文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获区一等奖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常州市教学能手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进行教学管理、班主任经验指导，给予锻炼机会聘用为班主任或教研组长，综合评定为考核优秀。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化学教与学、化学教育、中学化学教学参考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参加基本功比赛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参与省级课题《指向高阶思维的初中化学微项目学习的实践研究》开设实践课并撰写论文</w:t>
            </w:r>
          </w:p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参与区级课题研究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获市一等奖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中学一级、新北区骨干教师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进行教学管理、班主任经验指导，给予锻炼机会聘用为班主任或教研组长，综合评定为考核优秀。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化学教与学、化学教育、中学化学教学参考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开设区级公开课1次或市级公开课1次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参加评优课比赛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针对实际教学，对教学目标达成、教学内容时间管理、教授方法、分层教学等方面进行总结反思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参与省级课题</w:t>
            </w:r>
          </w:p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主持区级课题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获奖或发表1篇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考核优秀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获市一等奖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中学一级、新北区骨干教师</w:t>
            </w:r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 w:val="18"/>
                <w:szCs w:val="18"/>
                <w:lang w:val="en-US" w:eastAsia="zh-CN"/>
              </w:rPr>
              <w:t>进行教学管理、班主任经验指导，给予锻炼机会聘用为班主任或教研组长，综合评定为考核优秀。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spacing w:line="28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YzZmYTcwNDQ1MDgyY2RkNDkyYzc1ZjZjYTkwY2YifQ=="/>
  </w:docVars>
  <w:rsids>
    <w:rsidRoot w:val="00000000"/>
    <w:rsid w:val="01DF02BE"/>
    <w:rsid w:val="13FF39BF"/>
    <w:rsid w:val="14DB5B42"/>
    <w:rsid w:val="40A75081"/>
    <w:rsid w:val="44BE67B2"/>
    <w:rsid w:val="51B16972"/>
    <w:rsid w:val="6D074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qFormat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总有些惊奇的际遇</cp:lastModifiedBy>
  <dcterms:modified xsi:type="dcterms:W3CDTF">2023-12-21T08:04:12Z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45EA515EC5B041A3979C614FF588FD3D</vt:lpwstr>
  </property>
</Properties>
</file>