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ind w:firstLine="641" w:firstLineChars="200"/>
        <w:jc w:val="center"/>
        <w:rPr>
          <w:rFonts w:asciiTheme="minorEastAsia" w:hAnsiTheme="minorEastAsia" w:cstheme="minorEastAsia"/>
          <w:b/>
          <w:bCs/>
          <w:sz w:val="32"/>
          <w:szCs w:val="32"/>
        </w:rPr>
      </w:pPr>
      <w:r>
        <w:rPr>
          <w:rFonts w:hint="eastAsia" w:asciiTheme="minorEastAsia" w:hAnsiTheme="minorEastAsia" w:cstheme="minorEastAsia"/>
          <w:b/>
          <w:bCs/>
          <w:sz w:val="32"/>
          <w:szCs w:val="32"/>
        </w:rPr>
        <w:t>识数有“道”，析数有“理”</w:t>
      </w:r>
    </w:p>
    <w:p>
      <w:pPr>
        <w:adjustRightInd w:val="0"/>
        <w:snapToGrid w:val="0"/>
        <w:spacing w:line="500" w:lineRule="exact"/>
        <w:ind w:firstLine="480" w:firstLineChars="200"/>
        <w:jc w:val="right"/>
        <w:rPr>
          <w:rFonts w:hint="eastAsia" w:asciiTheme="minorEastAsia" w:hAnsiTheme="minorEastAsia" w:cstheme="minorEastAsia"/>
          <w:b/>
          <w:bCs/>
          <w:sz w:val="24"/>
        </w:rPr>
      </w:pPr>
      <w:r>
        <w:rPr>
          <w:rFonts w:hint="eastAsia" w:asciiTheme="minorEastAsia" w:hAnsiTheme="minorEastAsia" w:cstheme="minorEastAsia"/>
          <w:b/>
          <w:bCs/>
          <w:sz w:val="24"/>
        </w:rPr>
        <w:t>——2023—2024学年第一学期五年级数学备课组工作总结</w:t>
      </w:r>
    </w:p>
    <w:p>
      <w:pPr>
        <w:adjustRightInd w:val="0"/>
        <w:snapToGrid w:val="0"/>
        <w:spacing w:line="500" w:lineRule="exact"/>
        <w:ind w:firstLine="480" w:firstLineChars="200"/>
        <w:jc w:val="center"/>
        <w:rPr>
          <w:rFonts w:hint="default" w:asciiTheme="minorEastAsia" w:hAnsiTheme="minorEastAsia" w:eastAsiaTheme="minorEastAsia" w:cstheme="minorEastAsia"/>
          <w:b w:val="0"/>
          <w:bCs w:val="0"/>
          <w:sz w:val="24"/>
          <w:lang w:val="en-US" w:eastAsia="zh-Hans"/>
        </w:rPr>
      </w:pPr>
      <w:r>
        <w:rPr>
          <w:rFonts w:hint="eastAsia" w:asciiTheme="minorEastAsia" w:hAnsiTheme="minorEastAsia" w:cstheme="minorEastAsia"/>
          <w:b w:val="0"/>
          <w:bCs w:val="0"/>
          <w:sz w:val="24"/>
          <w:lang w:val="en-US" w:eastAsia="zh-Hans"/>
        </w:rPr>
        <w:t>备课组长</w:t>
      </w:r>
      <w:r>
        <w:rPr>
          <w:rFonts w:hint="default" w:asciiTheme="minorEastAsia" w:hAnsiTheme="minorEastAsia" w:cstheme="minorEastAsia"/>
          <w:b w:val="0"/>
          <w:bCs w:val="0"/>
          <w:sz w:val="24"/>
          <w:lang w:eastAsia="zh-Hans"/>
        </w:rPr>
        <w:t>：</w:t>
      </w:r>
      <w:r>
        <w:rPr>
          <w:rFonts w:hint="eastAsia" w:asciiTheme="minorEastAsia" w:hAnsiTheme="minorEastAsia" w:cstheme="minorEastAsia"/>
          <w:b w:val="0"/>
          <w:bCs w:val="0"/>
          <w:sz w:val="24"/>
          <w:lang w:val="en-US" w:eastAsia="zh-Hans"/>
        </w:rPr>
        <w:t>张思月</w:t>
      </w:r>
      <w:bookmarkStart w:id="0" w:name="_GoBack"/>
      <w:bookmarkEnd w:id="0"/>
    </w:p>
    <w:p>
      <w:pPr>
        <w:adjustRightInd w:val="0"/>
        <w:snapToGrid w:val="0"/>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时光流逝，一学期的工作行将结束，在这一学期中，我们五年级的2位年轻数学老师，立足岗位，勤奋敬业，团结协作，在备课组长的带领下，能够紧紧围绕学校工作计划、教导处工作计划和教科研工作计划，认真组织组内教师梳理教材，参加教材培训，学习《2022版数学新课标》，树立新的教学理念，并落实到教学实践中去；树立科学发展观，转变教学行为，求真务实地开展课堂教学研究，实践新课程的理念，确保教学质量的稳步提高。现将这一学期工作回顾如下：</w:t>
      </w:r>
    </w:p>
    <w:p>
      <w:pPr>
        <w:adjustRightInd w:val="0"/>
        <w:snapToGrid w:val="0"/>
        <w:spacing w:line="500" w:lineRule="exact"/>
        <w:rPr>
          <w:rFonts w:hint="eastAsia" w:asciiTheme="minorEastAsia" w:hAnsiTheme="minorEastAsia" w:cstheme="minorEastAsia"/>
          <w:b/>
          <w:bCs/>
          <w:sz w:val="24"/>
        </w:rPr>
      </w:pPr>
      <w:r>
        <w:rPr>
          <w:rFonts w:hint="eastAsia" w:asciiTheme="minorEastAsia" w:hAnsiTheme="minorEastAsia" w:cstheme="minorEastAsia"/>
          <w:b/>
          <w:bCs/>
          <w:sz w:val="24"/>
        </w:rPr>
        <w:t>一、本学期主要工作</w:t>
      </w:r>
    </w:p>
    <w:p>
      <w:pPr>
        <w:adjustRightInd w:val="0"/>
        <w:snapToGrid w:val="0"/>
        <w:spacing w:line="500" w:lineRule="exact"/>
        <w:rPr>
          <w:rFonts w:asciiTheme="minorEastAsia" w:hAnsiTheme="minorEastAsia" w:cstheme="minorEastAsia"/>
          <w:b/>
          <w:bCs/>
          <w:sz w:val="24"/>
        </w:rPr>
      </w:pPr>
      <w:r>
        <w:rPr>
          <w:rFonts w:hint="eastAsia" w:asciiTheme="minorEastAsia" w:hAnsiTheme="minorEastAsia" w:cstheme="minorEastAsia"/>
          <w:b/>
          <w:bCs/>
          <w:sz w:val="24"/>
        </w:rPr>
        <w:t>1</w:t>
      </w:r>
      <w:r>
        <w:rPr>
          <w:rFonts w:asciiTheme="minorEastAsia" w:hAnsiTheme="minorEastAsia" w:cstheme="minorEastAsia"/>
          <w:b/>
          <w:bCs/>
          <w:sz w:val="24"/>
        </w:rPr>
        <w:t>.</w:t>
      </w:r>
      <w:r>
        <w:rPr>
          <w:rFonts w:hint="eastAsia" w:asciiTheme="minorEastAsia" w:hAnsiTheme="minorEastAsia" w:cstheme="minorEastAsia"/>
          <w:b/>
          <w:bCs/>
          <w:sz w:val="24"/>
        </w:rPr>
        <w:t>常规工作于实践中反思</w:t>
      </w:r>
    </w:p>
    <w:p>
      <w:pPr>
        <w:adjustRightInd w:val="0"/>
        <w:snapToGrid w:val="0"/>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每次备课组活动和学科组的教研活动，我们都准时参加，做好充分准备，在活动中积极讨论。平时能结合每月常规考核和调研，大家互相听课、评课，努力提高自己的课堂教学水平。课后能够做到认真备课（教案、反思和错例分析）、批改作业等，力求达到学校的高标准、高要求。</w:t>
      </w:r>
    </w:p>
    <w:p>
      <w:pPr>
        <w:adjustRightInd w:val="0"/>
        <w:snapToGrid w:val="0"/>
        <w:spacing w:line="500" w:lineRule="exact"/>
        <w:rPr>
          <w:rFonts w:asciiTheme="minorEastAsia" w:hAnsiTheme="minorEastAsia" w:cstheme="minorEastAsia"/>
          <w:b/>
          <w:bCs/>
          <w:sz w:val="24"/>
        </w:rPr>
      </w:pPr>
      <w:r>
        <w:rPr>
          <w:rFonts w:hint="eastAsia" w:asciiTheme="minorEastAsia" w:hAnsiTheme="minorEastAsia" w:cstheme="minorEastAsia"/>
          <w:b/>
          <w:bCs/>
          <w:sz w:val="24"/>
        </w:rPr>
        <w:t>2</w:t>
      </w:r>
      <w:r>
        <w:rPr>
          <w:rFonts w:asciiTheme="minorEastAsia" w:hAnsiTheme="minorEastAsia" w:cstheme="minorEastAsia"/>
          <w:b/>
          <w:bCs/>
          <w:sz w:val="24"/>
        </w:rPr>
        <w:t>.</w:t>
      </w:r>
      <w:r>
        <w:rPr>
          <w:rFonts w:hint="eastAsia" w:asciiTheme="minorEastAsia" w:hAnsiTheme="minorEastAsia" w:cstheme="minorEastAsia"/>
          <w:b/>
          <w:bCs/>
          <w:sz w:val="24"/>
        </w:rPr>
        <w:t>集体备课于共享中成长</w:t>
      </w:r>
    </w:p>
    <w:p>
      <w:pPr>
        <w:adjustRightInd w:val="0"/>
        <w:snapToGrid w:val="0"/>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抓好集体备课，实现学科备课组脑力资源的共享，既是提高备课水平、保证课堂教学质量的重要措施，又是提高教师整体素质的重要途径。在组内，我们一是做到课前讨论交流，二是做到课后反思小结对比。基本上每天我们都要抽出一定的时间碰头说一说自己的教学进度，一节课中教学的重点、难点的突破，学生的反应及应变对策；还经常拿出教材提出自己在备课中想到的好点子以及遇到的问题进行探讨交流，并及时记录在“每日一议”中，完善备课组过程性资料。每单周星期二下午的备课组活动更给了我们充足的时间交流一段时间的教学情况，一方面：每个单元的主备人作为中心发言人，主动交流自己的备课思考，其他老师在听的同时提出建议并商讨，直到达成共识；另一方面，根据教研组和教导处的工作安排商讨备课组建设的充实，以专题化的形式讨论有效练习的设计，交流复习课的模式、体会和复习计划……在讨论中，大家资源共享，难题困难大家一起解决，每个人都会有所获，从一次次思维的碰撞中不断提升！</w:t>
      </w:r>
    </w:p>
    <w:p>
      <w:pPr>
        <w:adjustRightInd w:val="0"/>
        <w:snapToGrid w:val="0"/>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每次公开课、督导课等，我们组都会根据不同要求，由上课教师选定课题，确定教学目标、教学重点、教学难点等内容，书写教学设计初稿，并作好充分准备发表自己观点。每个组员也本着积极参与的精神，充分挖掘和分析教材，并通过各种手段搜集各种有用信息，在备教材、备教法的基础上，形成自己的观点和看法，再交流讨论，就本课的各个部分进行深入的探讨和分析，导入新课部分选出最新颖、独特且能吸引学生的方案，并用材料加以辅助。经过专家的指导，我们从每个词、每句话的严谨，到每个过渡语，每次激励语的恰到好处，到环节的层次清晰，到课件的追求完美……在这样一个磨练的过程中，每个人都会得到锻炼和收获。上完后的评价、反思、总结和重新修改整理，又是一个提升，遗憾的是没有能够将磨课的过程和反思作进一步的整理，形成文字稿。本学期我组教师共开设区级公开课2节，校际联合教研课1节。</w:t>
      </w:r>
    </w:p>
    <w:p>
      <w:pPr>
        <w:adjustRightInd w:val="0"/>
        <w:snapToGrid w:val="0"/>
        <w:spacing w:line="500" w:lineRule="exact"/>
        <w:rPr>
          <w:rFonts w:asciiTheme="minorEastAsia" w:hAnsiTheme="minorEastAsia" w:cstheme="minorEastAsia"/>
          <w:b/>
          <w:bCs/>
          <w:sz w:val="24"/>
        </w:rPr>
      </w:pPr>
      <w:r>
        <w:rPr>
          <w:rFonts w:hint="eastAsia" w:asciiTheme="minorEastAsia" w:hAnsiTheme="minorEastAsia" w:cstheme="minorEastAsia"/>
          <w:b/>
          <w:bCs/>
          <w:sz w:val="24"/>
        </w:rPr>
        <w:t>3</w:t>
      </w:r>
      <w:r>
        <w:rPr>
          <w:rFonts w:asciiTheme="minorEastAsia" w:hAnsiTheme="minorEastAsia" w:cstheme="minorEastAsia"/>
          <w:b/>
          <w:bCs/>
          <w:sz w:val="24"/>
        </w:rPr>
        <w:t>.</w:t>
      </w:r>
      <w:r>
        <w:rPr>
          <w:rFonts w:hint="eastAsia" w:asciiTheme="minorEastAsia" w:hAnsiTheme="minorEastAsia" w:cstheme="minorEastAsia"/>
          <w:b/>
          <w:bCs/>
          <w:sz w:val="24"/>
        </w:rPr>
        <w:t>作业设计于碰撞中积累</w:t>
      </w:r>
      <w:r>
        <w:rPr>
          <w:rFonts w:asciiTheme="minorEastAsia" w:hAnsiTheme="minorEastAsia" w:cstheme="minorEastAsia"/>
          <w:b/>
          <w:bCs/>
          <w:sz w:val="24"/>
        </w:rPr>
        <w:t xml:space="preserve"> </w:t>
      </w:r>
    </w:p>
    <w:p>
      <w:pPr>
        <w:adjustRightInd w:val="0"/>
        <w:snapToGrid w:val="0"/>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从开学初的教材梳理——分工备（电子稿）——周周练——各单元的专项练习整理、设计——优秀课例（教案、课件）——复习资源整理共享——综合练习的商讨。每个环节的每个内容，每个细节我们都要经过精心安排和讨论，最终定稿，以至留下的是我们集体智慧的结晶。本学期，共设计有效练习8份，命制关键能力测试试卷4份，同时利用手中资源，期末复习时进行分类汇总并讲解。除此之外，我们在备课组台帐上也注重全面性和完整性，不仅仅作为一本简单的台帐，而是可以给后人有参考价值的资料（其中包括：每次的活动记录、口算（操作）试卷、期末复习计划、期中期末试卷、期中期末试卷分析、备课组质量分析报告、备课组总结、公开课记录等）。虽然付出了很多，但是收获的更多，资源库的建设在我们共同的努力中日渐充实，不仅让我们自己受益匪浅，同时也给今后教学奠定了基础。</w:t>
      </w:r>
    </w:p>
    <w:p>
      <w:pPr>
        <w:adjustRightInd w:val="0"/>
        <w:snapToGrid w:val="0"/>
        <w:spacing w:line="500" w:lineRule="exact"/>
        <w:rPr>
          <w:rFonts w:asciiTheme="minorEastAsia" w:hAnsiTheme="minorEastAsia" w:cstheme="minorEastAsia"/>
          <w:b/>
          <w:bCs/>
          <w:sz w:val="24"/>
        </w:rPr>
      </w:pPr>
      <w:r>
        <w:rPr>
          <w:rFonts w:hint="eastAsia" w:asciiTheme="minorEastAsia" w:hAnsiTheme="minorEastAsia" w:cstheme="minorEastAsia"/>
          <w:b/>
          <w:bCs/>
          <w:sz w:val="24"/>
        </w:rPr>
        <w:t>4</w:t>
      </w:r>
      <w:r>
        <w:rPr>
          <w:rFonts w:asciiTheme="minorEastAsia" w:hAnsiTheme="minorEastAsia" w:cstheme="minorEastAsia"/>
          <w:b/>
          <w:bCs/>
          <w:sz w:val="24"/>
        </w:rPr>
        <w:t>.</w:t>
      </w:r>
      <w:r>
        <w:rPr>
          <w:rFonts w:hint="eastAsia" w:asciiTheme="minorEastAsia" w:hAnsiTheme="minorEastAsia" w:cstheme="minorEastAsia"/>
          <w:b/>
          <w:bCs/>
          <w:sz w:val="24"/>
        </w:rPr>
        <w:t>课题研究于日常中推进</w:t>
      </w:r>
    </w:p>
    <w:p>
      <w:pPr>
        <w:adjustRightInd w:val="0"/>
        <w:snapToGrid w:val="0"/>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组内教师平时能积极参加学校组织的各种教研活动，严格执行互听互评课制度，在上课、听课、评课活动中，取长补短，不断提高自己的业务水平，使自己在学习中成长，在不断反思中提高。同时也积极撰写教育教学论文、随笔、反思或案例。我和恽蝶分别在省级刊物上发表论文各1篇。区级微型课题的评比也获得二等奖，恽蝶撰写的双减案例获市级三等奖，张思月撰写的论文获区级二等奖。</w:t>
      </w:r>
    </w:p>
    <w:p>
      <w:pPr>
        <w:adjustRightInd w:val="0"/>
        <w:snapToGrid w:val="0"/>
        <w:spacing w:line="500" w:lineRule="exact"/>
        <w:rPr>
          <w:rFonts w:asciiTheme="minorEastAsia" w:hAnsiTheme="minorEastAsia" w:cstheme="minorEastAsia"/>
          <w:b/>
          <w:bCs/>
          <w:sz w:val="24"/>
        </w:rPr>
      </w:pPr>
      <w:r>
        <w:rPr>
          <w:rFonts w:hint="eastAsia" w:asciiTheme="minorEastAsia" w:hAnsiTheme="minorEastAsia" w:cstheme="minorEastAsia"/>
          <w:b/>
          <w:bCs/>
          <w:sz w:val="24"/>
        </w:rPr>
        <w:t>5</w:t>
      </w:r>
      <w:r>
        <w:rPr>
          <w:rFonts w:asciiTheme="minorEastAsia" w:hAnsiTheme="minorEastAsia" w:cstheme="minorEastAsia"/>
          <w:b/>
          <w:bCs/>
          <w:sz w:val="24"/>
        </w:rPr>
        <w:t>.</w:t>
      </w:r>
      <w:r>
        <w:rPr>
          <w:rFonts w:hint="eastAsia" w:asciiTheme="minorEastAsia" w:hAnsiTheme="minorEastAsia" w:cstheme="minorEastAsia"/>
          <w:b/>
          <w:bCs/>
          <w:sz w:val="24"/>
        </w:rPr>
        <w:t>学业评价于对比中提质</w:t>
      </w:r>
    </w:p>
    <w:p>
      <w:pPr>
        <w:adjustRightInd w:val="0"/>
        <w:snapToGrid w:val="0"/>
        <w:spacing w:line="500" w:lineRule="exact"/>
        <w:ind w:firstLine="420"/>
        <w:rPr>
          <w:rFonts w:asciiTheme="minorEastAsia" w:hAnsiTheme="minorEastAsia" w:cstheme="minorEastAsia"/>
          <w:sz w:val="24"/>
        </w:rPr>
      </w:pPr>
      <w:r>
        <w:rPr>
          <w:rFonts w:hint="eastAsia" w:asciiTheme="minorEastAsia" w:hAnsiTheme="minorEastAsia" w:cstheme="minorEastAsia"/>
          <w:sz w:val="24"/>
        </w:rPr>
        <w:t>本学期五年级全体师生共参加了3次调研，由于是新组建的班级，在班风学生还没有形成的情况下，9月份的月调研成绩并不理想，也是因为此次调研，我们摸清了这一届学生的数学基础，合格率较往届而言有优势，4</w:t>
      </w:r>
      <w:r>
        <w:rPr>
          <w:rFonts w:asciiTheme="minorEastAsia" w:hAnsiTheme="minorEastAsia" w:cstheme="minorEastAsia"/>
          <w:sz w:val="24"/>
        </w:rPr>
        <w:t>0</w:t>
      </w:r>
      <w:r>
        <w:rPr>
          <w:rFonts w:hint="eastAsia" w:asciiTheme="minorEastAsia" w:hAnsiTheme="minorEastAsia" w:cstheme="minorEastAsia"/>
          <w:sz w:val="24"/>
        </w:rPr>
        <w:t>分以下的学生人数较少，但是优秀率与周边学校相比存在较大差距。</w:t>
      </w:r>
    </w:p>
    <w:p>
      <w:pPr>
        <w:adjustRightInd w:val="0"/>
        <w:snapToGrid w:val="0"/>
        <w:spacing w:line="500" w:lineRule="exact"/>
        <w:ind w:firstLine="420"/>
        <w:rPr>
          <w:rFonts w:asciiTheme="minorEastAsia" w:hAnsiTheme="minorEastAsia" w:cstheme="minorEastAsia"/>
          <w:sz w:val="24"/>
        </w:rPr>
      </w:pPr>
      <w:r>
        <w:drawing>
          <wp:anchor distT="0" distB="0" distL="114300" distR="114300" simplePos="0" relativeHeight="251660288" behindDoc="0" locked="0" layoutInCell="1" allowOverlap="1">
            <wp:simplePos x="0" y="0"/>
            <wp:positionH relativeFrom="column">
              <wp:posOffset>352425</wp:posOffset>
            </wp:positionH>
            <wp:positionV relativeFrom="paragraph">
              <wp:posOffset>1468755</wp:posOffset>
            </wp:positionV>
            <wp:extent cx="3790950" cy="371475"/>
            <wp:effectExtent l="0" t="0" r="0" b="9525"/>
            <wp:wrapTopAndBottom/>
            <wp:docPr id="10466775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67755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790978" cy="371478"/>
                    </a:xfrm>
                    <a:prstGeom prst="rect">
                      <a:avLst/>
                    </a:prstGeom>
                  </pic:spPr>
                </pic:pic>
              </a:graphicData>
            </a:graphic>
          </wp:anchor>
        </w:drawing>
      </w:r>
      <w:r>
        <w:rPr>
          <w:rFonts w:hint="eastAsia" w:asciiTheme="minorEastAsia" w:hAnsiTheme="minorEastAsia" w:cstheme="minorEastAsia"/>
          <w:sz w:val="24"/>
        </w:rPr>
        <w:t>在接下来的1</w:t>
      </w:r>
      <w:r>
        <w:rPr>
          <w:rFonts w:asciiTheme="minorEastAsia" w:hAnsiTheme="minorEastAsia" w:cstheme="minorEastAsia"/>
          <w:sz w:val="24"/>
        </w:rPr>
        <w:t>0</w:t>
      </w:r>
      <w:r>
        <w:rPr>
          <w:rFonts w:hint="eastAsia" w:asciiTheme="minorEastAsia" w:hAnsiTheme="minorEastAsia" w:cstheme="minorEastAsia"/>
          <w:sz w:val="24"/>
        </w:rPr>
        <w:t>月份的教学中，我和恽蝶老师在关注学生基础达标外，更关注8</w:t>
      </w:r>
      <w:r>
        <w:rPr>
          <w:rFonts w:asciiTheme="minorEastAsia" w:hAnsiTheme="minorEastAsia" w:cstheme="minorEastAsia"/>
          <w:sz w:val="24"/>
        </w:rPr>
        <w:t>5</w:t>
      </w:r>
      <w:r>
        <w:rPr>
          <w:rFonts w:hint="eastAsia" w:asciiTheme="minorEastAsia" w:hAnsiTheme="minorEastAsia" w:cstheme="minorEastAsia"/>
          <w:sz w:val="24"/>
        </w:rPr>
        <w:t>分——</w:t>
      </w:r>
      <w:r>
        <w:rPr>
          <w:rFonts w:asciiTheme="minorEastAsia" w:hAnsiTheme="minorEastAsia" w:cstheme="minorEastAsia"/>
          <w:sz w:val="24"/>
        </w:rPr>
        <w:t>90</w:t>
      </w:r>
      <w:r>
        <w:rPr>
          <w:rFonts w:hint="eastAsia" w:asciiTheme="minorEastAsia" w:hAnsiTheme="minorEastAsia" w:cstheme="minorEastAsia"/>
          <w:sz w:val="24"/>
        </w:rPr>
        <w:t>分学生日常作业中的错误点、数学思考的不缜密、不良的解题习惯等，这一系列的日常工作，让我们在1</w:t>
      </w:r>
      <w:r>
        <w:rPr>
          <w:rFonts w:asciiTheme="minorEastAsia" w:hAnsiTheme="minorEastAsia" w:cstheme="minorEastAsia"/>
          <w:sz w:val="24"/>
        </w:rPr>
        <w:t>1</w:t>
      </w:r>
      <w:r>
        <w:rPr>
          <w:rFonts w:hint="eastAsia" w:asciiTheme="minorEastAsia" w:hAnsiTheme="minorEastAsia" w:cstheme="minorEastAsia"/>
          <w:sz w:val="24"/>
        </w:rPr>
        <w:t>月初的调研中缩小了与周边学校优秀率之间的差距，平均分和合格率也凸显出了我们的优势。</w:t>
      </w:r>
    </w:p>
    <w:p>
      <w:pPr>
        <w:adjustRightInd w:val="0"/>
        <w:snapToGrid w:val="0"/>
        <w:spacing w:line="500" w:lineRule="exact"/>
        <w:ind w:firstLine="420"/>
        <w:rPr>
          <w:rFonts w:asciiTheme="minorEastAsia" w:hAnsiTheme="minorEastAsia" w:cstheme="minorEastAsia"/>
          <w:sz w:val="24"/>
        </w:rPr>
      </w:pPr>
      <w:r>
        <w:drawing>
          <wp:anchor distT="0" distB="0" distL="114300" distR="114300" simplePos="0" relativeHeight="251659264" behindDoc="0" locked="0" layoutInCell="1" allowOverlap="1">
            <wp:simplePos x="0" y="0"/>
            <wp:positionH relativeFrom="column">
              <wp:posOffset>209550</wp:posOffset>
            </wp:positionH>
            <wp:positionV relativeFrom="paragraph">
              <wp:posOffset>1622425</wp:posOffset>
            </wp:positionV>
            <wp:extent cx="5274310" cy="836295"/>
            <wp:effectExtent l="0" t="0" r="2540" b="1905"/>
            <wp:wrapTopAndBottom/>
            <wp:docPr id="16602360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236021" name="图片 1"/>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274310" cy="836295"/>
                    </a:xfrm>
                    <a:prstGeom prst="rect">
                      <a:avLst/>
                    </a:prstGeom>
                  </pic:spPr>
                </pic:pic>
              </a:graphicData>
            </a:graphic>
          </wp:anchor>
        </w:drawing>
      </w:r>
      <w:r>
        <w:rPr>
          <w:rFonts w:hint="eastAsia" w:asciiTheme="minorEastAsia" w:hAnsiTheme="minorEastAsia" w:cstheme="minorEastAsia"/>
          <w:sz w:val="24"/>
        </w:rPr>
        <w:t>在后半学期，我和恽蝶老师在教学中持续关注优秀学生的潜力，通过过关测试、练习的错误率等数据，关注他们成绩的稳定性，到了期末，发现每个班级都有</w:t>
      </w:r>
      <w:r>
        <w:rPr>
          <w:rFonts w:asciiTheme="minorEastAsia" w:hAnsiTheme="minorEastAsia" w:cstheme="minorEastAsia"/>
          <w:sz w:val="24"/>
        </w:rPr>
        <w:t>6</w:t>
      </w:r>
      <w:r>
        <w:rPr>
          <w:rFonts w:hint="eastAsia" w:asciiTheme="minorEastAsia" w:hAnsiTheme="minorEastAsia" w:cstheme="minorEastAsia"/>
          <w:sz w:val="24"/>
        </w:rPr>
        <w:t>个左右的学生能够稳步保持在9</w:t>
      </w:r>
      <w:r>
        <w:rPr>
          <w:rFonts w:asciiTheme="minorEastAsia" w:hAnsiTheme="minorEastAsia" w:cstheme="minorEastAsia"/>
          <w:sz w:val="24"/>
        </w:rPr>
        <w:t>7</w:t>
      </w:r>
      <w:r>
        <w:rPr>
          <w:rFonts w:hint="eastAsia" w:asciiTheme="minorEastAsia" w:hAnsiTheme="minorEastAsia" w:cstheme="minorEastAsia"/>
          <w:sz w:val="24"/>
        </w:rPr>
        <w:t>分及以上，在期末调研测试中，我们五年级数学组以平均分领先6分、及格率领先4</w:t>
      </w:r>
      <w:r>
        <w:rPr>
          <w:rFonts w:asciiTheme="minorEastAsia" w:hAnsiTheme="minorEastAsia" w:cstheme="minorEastAsia"/>
          <w:sz w:val="24"/>
        </w:rPr>
        <w:t>.5%</w:t>
      </w:r>
      <w:r>
        <w:rPr>
          <w:rFonts w:hint="eastAsia" w:asciiTheme="minorEastAsia" w:hAnsiTheme="minorEastAsia" w:cstheme="minorEastAsia"/>
          <w:sz w:val="24"/>
        </w:rPr>
        <w:t>、优秀率领先1</w:t>
      </w:r>
      <w:r>
        <w:rPr>
          <w:rFonts w:asciiTheme="minorEastAsia" w:hAnsiTheme="minorEastAsia" w:cstheme="minorEastAsia"/>
          <w:sz w:val="24"/>
        </w:rPr>
        <w:t>7%</w:t>
      </w:r>
      <w:r>
        <w:rPr>
          <w:rFonts w:hint="eastAsia" w:asciiTheme="minorEastAsia" w:hAnsiTheme="minorEastAsia" w:cstheme="minorEastAsia"/>
          <w:sz w:val="24"/>
        </w:rPr>
        <w:t>的成绩，全面实现了本学期的期初目标。</w:t>
      </w:r>
    </w:p>
    <w:p>
      <w:pPr>
        <w:adjustRightInd w:val="0"/>
        <w:snapToGrid w:val="0"/>
        <w:spacing w:line="500" w:lineRule="exact"/>
        <w:rPr>
          <w:rFonts w:hint="eastAsia" w:asciiTheme="minorEastAsia" w:hAnsiTheme="minorEastAsia" w:cstheme="minorEastAsia"/>
          <w:b/>
          <w:bCs/>
          <w:sz w:val="24"/>
        </w:rPr>
      </w:pPr>
      <w:r>
        <w:rPr>
          <w:rFonts w:hint="eastAsia" w:asciiTheme="minorEastAsia" w:hAnsiTheme="minorEastAsia" w:cstheme="minorEastAsia"/>
          <w:b/>
          <w:bCs/>
          <w:sz w:val="24"/>
        </w:rPr>
        <w:t>二、存在问题</w:t>
      </w:r>
    </w:p>
    <w:p>
      <w:pPr>
        <w:adjustRightInd w:val="0"/>
        <w:snapToGrid w:val="0"/>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一学期的工作，随着2024年的如期而至，即将结束。在此期间机遇与挑战并存，成功与失败相伴。组内教师立足岗位，团结协作，求真求实，反思的同时也认识到了一些组内的不足：</w:t>
      </w:r>
    </w:p>
    <w:p>
      <w:pPr>
        <w:adjustRightInd w:val="0"/>
        <w:snapToGrid w:val="0"/>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1．组内教师互相听课的次数要提高，相互学习才能更好地提高课堂教学水平。</w:t>
      </w:r>
    </w:p>
    <w:p>
      <w:pPr>
        <w:adjustRightInd w:val="0"/>
        <w:snapToGrid w:val="0"/>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2．组内教师的基本功还要更扎实，在专业知识和教科研的理论学习、实践上，还要有所提高。</w:t>
      </w:r>
    </w:p>
    <w:p>
      <w:pPr>
        <w:adjustRightInd w:val="0"/>
        <w:snapToGrid w:val="0"/>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3．本届学生的理解能力不足，提优方面存在一定困难，教学中没有真正站在学生的角度进行思考，在复习阶段由于时间紧凑，部分习题的正确率没有扎实地提升。</w:t>
      </w:r>
    </w:p>
    <w:p>
      <w:pPr>
        <w:adjustRightInd w:val="0"/>
        <w:snapToGrid w:val="0"/>
        <w:spacing w:line="500" w:lineRule="exact"/>
        <w:rPr>
          <w:rFonts w:asciiTheme="minorEastAsia" w:hAnsiTheme="minorEastAsia" w:cstheme="minorEastAsia"/>
          <w:b/>
          <w:bCs/>
          <w:sz w:val="24"/>
        </w:rPr>
      </w:pPr>
      <w:r>
        <w:rPr>
          <w:rFonts w:hint="eastAsia" w:asciiTheme="minorEastAsia" w:hAnsiTheme="minorEastAsia" w:cstheme="minorEastAsia"/>
          <w:b/>
          <w:bCs/>
          <w:sz w:val="24"/>
        </w:rPr>
        <w:t>三、后续改进措施：</w:t>
      </w:r>
    </w:p>
    <w:p>
      <w:pPr>
        <w:adjustRightInd w:val="0"/>
        <w:snapToGrid w:val="0"/>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1、加强组内研讨。新授课听得较多，练习课更要相互听，不仅停留在办公室中对解题方法的指导上。</w:t>
      </w:r>
    </w:p>
    <w:p>
      <w:pPr>
        <w:adjustRightInd w:val="0"/>
        <w:snapToGrid w:val="0"/>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2、研究教材，进行专业化解读。将习题的分类与整理更加细化，完善作业设计题库。继续加强对学生计算能力的提高，另一方面也要加强对学生对实际应用题的分析和解决能力，对各类应用题逐步渗透，从数量关系的分析入手，进行不断突破。同时也要加强对优秀生思维水平的提高，让他们学有余力的同时，拓展思维，站得更高看得更远走得更远！</w:t>
      </w:r>
    </w:p>
    <w:p>
      <w:pPr>
        <w:adjustRightInd w:val="0"/>
        <w:snapToGrid w:val="0"/>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3、要加强对学困生的补习力度。使每个学生都得到最好的发展，每个孩子都有所进步。</w:t>
      </w:r>
    </w:p>
    <w:p>
      <w:pPr>
        <w:adjustRightInd w:val="0"/>
        <w:snapToGrid w:val="0"/>
        <w:spacing w:line="500" w:lineRule="exact"/>
        <w:ind w:firstLine="480" w:firstLineChars="200"/>
        <w:rPr>
          <w:rFonts w:asciiTheme="minorEastAsia" w:hAnsiTheme="minorEastAsia" w:cstheme="minorEastAsia"/>
          <w:sz w:val="24"/>
        </w:rPr>
      </w:pPr>
      <w:r>
        <w:rPr>
          <w:rFonts w:hint="eastAsia" w:asciiTheme="minorEastAsia" w:hAnsiTheme="minorEastAsia" w:cstheme="minorEastAsia"/>
          <w:sz w:val="24"/>
        </w:rPr>
        <w:t>备课组是个集体，只有团结一致才能发挥其最大的优势和力量！路漫漫其修远兮，我们将上而求索。</w:t>
      </w:r>
    </w:p>
    <w:p>
      <w:pPr>
        <w:widowControl/>
        <w:jc w:val="left"/>
        <w:rPr>
          <w:rFonts w:asciiTheme="minorEastAsia" w:hAnsiTheme="minorEastAsia" w:cstheme="minorEastAsia"/>
          <w:sz w:val="24"/>
        </w:rPr>
      </w:pPr>
      <w:r>
        <w:rPr>
          <w:rFonts w:asciiTheme="minorEastAsia" w:hAnsiTheme="minorEastAsia" w:cstheme="minorEastAsia"/>
          <w:sz w:val="24"/>
        </w:rPr>
        <w:br w:type="page"/>
      </w:r>
    </w:p>
    <w:p>
      <w:pPr>
        <w:adjustRightInd w:val="0"/>
        <w:snapToGrid w:val="0"/>
        <w:spacing w:line="500" w:lineRule="exact"/>
        <w:rPr>
          <w:rFonts w:asciiTheme="minorEastAsia" w:hAnsiTheme="minorEastAsia" w:cstheme="minorEastAsia"/>
          <w:sz w:val="24"/>
        </w:rPr>
      </w:pPr>
      <w:r>
        <w:rPr>
          <w:rFonts w:hint="eastAsia" w:asciiTheme="minorEastAsia" w:hAnsiTheme="minorEastAsia" w:cstheme="minorEastAsia"/>
          <w:sz w:val="24"/>
        </w:rPr>
        <w:t>附录：师生获奖情况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544"/>
        <w:gridCol w:w="2268"/>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jc w:val="center"/>
              <w:rPr>
                <w:rFonts w:hint="eastAsia"/>
                <w:b/>
                <w:bCs/>
                <w:color w:val="000000"/>
                <w:sz w:val="24"/>
                <w:szCs w:val="32"/>
              </w:rPr>
            </w:pPr>
            <w:r>
              <w:rPr>
                <w:rFonts w:hint="eastAsia"/>
                <w:b/>
                <w:bCs/>
                <w:color w:val="000000"/>
                <w:sz w:val="24"/>
                <w:szCs w:val="32"/>
              </w:rPr>
              <w:t>姓名</w:t>
            </w:r>
          </w:p>
        </w:tc>
        <w:tc>
          <w:tcPr>
            <w:tcW w:w="3544" w:type="dxa"/>
            <w:vAlign w:val="center"/>
          </w:tcPr>
          <w:p>
            <w:pPr>
              <w:adjustRightInd w:val="0"/>
              <w:snapToGrid w:val="0"/>
              <w:spacing w:line="500" w:lineRule="exact"/>
              <w:jc w:val="center"/>
              <w:rPr>
                <w:rFonts w:hint="eastAsia"/>
                <w:b/>
                <w:bCs/>
                <w:color w:val="000000"/>
                <w:sz w:val="24"/>
                <w:szCs w:val="32"/>
              </w:rPr>
            </w:pPr>
            <w:r>
              <w:rPr>
                <w:rFonts w:hint="eastAsia"/>
                <w:b/>
                <w:bCs/>
                <w:color w:val="000000"/>
                <w:sz w:val="24"/>
                <w:szCs w:val="32"/>
              </w:rPr>
              <w:t>获奖名称</w:t>
            </w:r>
          </w:p>
        </w:tc>
        <w:tc>
          <w:tcPr>
            <w:tcW w:w="2268" w:type="dxa"/>
            <w:vAlign w:val="center"/>
          </w:tcPr>
          <w:p>
            <w:pPr>
              <w:adjustRightInd w:val="0"/>
              <w:snapToGrid w:val="0"/>
              <w:spacing w:line="500" w:lineRule="exact"/>
              <w:jc w:val="center"/>
              <w:rPr>
                <w:rFonts w:hint="eastAsia"/>
                <w:b/>
                <w:bCs/>
                <w:color w:val="000000"/>
                <w:sz w:val="24"/>
                <w:szCs w:val="32"/>
              </w:rPr>
            </w:pPr>
            <w:r>
              <w:rPr>
                <w:rFonts w:hint="eastAsia"/>
                <w:b/>
                <w:bCs/>
                <w:color w:val="000000"/>
                <w:sz w:val="24"/>
                <w:szCs w:val="32"/>
              </w:rPr>
              <w:t>组织单位、班级</w:t>
            </w:r>
          </w:p>
        </w:tc>
        <w:tc>
          <w:tcPr>
            <w:tcW w:w="1751" w:type="dxa"/>
            <w:vAlign w:val="center"/>
          </w:tcPr>
          <w:p>
            <w:pPr>
              <w:adjustRightInd w:val="0"/>
              <w:snapToGrid w:val="0"/>
              <w:spacing w:line="500" w:lineRule="exact"/>
              <w:jc w:val="center"/>
              <w:rPr>
                <w:rFonts w:hint="eastAsia"/>
                <w:b/>
                <w:bCs/>
                <w:color w:val="000000"/>
                <w:sz w:val="24"/>
                <w:szCs w:val="32"/>
              </w:rPr>
            </w:pPr>
            <w:r>
              <w:rPr>
                <w:rFonts w:hint="eastAsia"/>
                <w:b/>
                <w:bCs/>
                <w:color w:val="000000"/>
                <w:sz w:val="22"/>
                <w:szCs w:val="28"/>
              </w:rPr>
              <w:t>日期、辅导教师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恽 蝶</w:t>
            </w:r>
          </w:p>
        </w:tc>
        <w:tc>
          <w:tcPr>
            <w:tcW w:w="3544"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新北区第三批中小学教坛新秀</w:t>
            </w:r>
          </w:p>
        </w:tc>
        <w:tc>
          <w:tcPr>
            <w:tcW w:w="2268"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常州国家高新区（新北区）教育局</w:t>
            </w:r>
          </w:p>
        </w:tc>
        <w:tc>
          <w:tcPr>
            <w:tcW w:w="1751"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sz w:val="20"/>
                <w:szCs w:val="20"/>
              </w:rPr>
              <w:t>恽蝶</w:t>
            </w:r>
          </w:p>
        </w:tc>
        <w:tc>
          <w:tcPr>
            <w:tcW w:w="3544" w:type="dxa"/>
            <w:vAlign w:val="center"/>
          </w:tcPr>
          <w:p>
            <w:pPr>
              <w:adjustRightInd w:val="0"/>
              <w:snapToGrid w:val="0"/>
              <w:spacing w:line="500" w:lineRule="exact"/>
              <w:rPr>
                <w:rFonts w:hint="eastAsia" w:asciiTheme="minorEastAsia" w:hAnsiTheme="minorEastAsia" w:cstheme="minorEastAsia"/>
                <w:sz w:val="24"/>
              </w:rPr>
            </w:pPr>
            <w:r>
              <w:rPr>
                <w:rFonts w:hint="eastAsia"/>
              </w:rPr>
              <w:t>江苏省科普小论文优秀指导教师</w:t>
            </w:r>
          </w:p>
        </w:tc>
        <w:tc>
          <w:tcPr>
            <w:tcW w:w="2268"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江苏教育报刊总社</w:t>
            </w:r>
          </w:p>
        </w:tc>
        <w:tc>
          <w:tcPr>
            <w:tcW w:w="1751"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sz w:val="20"/>
                <w:szCs w:val="20"/>
              </w:rPr>
              <w:t>张思月</w:t>
            </w:r>
          </w:p>
        </w:tc>
        <w:tc>
          <w:tcPr>
            <w:tcW w:w="3544" w:type="dxa"/>
            <w:vAlign w:val="center"/>
          </w:tcPr>
          <w:p>
            <w:pPr>
              <w:adjustRightInd w:val="0"/>
              <w:snapToGrid w:val="0"/>
              <w:spacing w:line="500" w:lineRule="exact"/>
              <w:rPr>
                <w:rFonts w:hint="eastAsia" w:asciiTheme="minorEastAsia" w:hAnsiTheme="minorEastAsia" w:cstheme="minorEastAsia"/>
                <w:sz w:val="24"/>
              </w:rPr>
            </w:pPr>
            <w:r>
              <w:rPr>
                <w:rFonts w:hint="eastAsia"/>
              </w:rPr>
              <w:t>江苏省科普小论文优秀指导教师</w:t>
            </w:r>
          </w:p>
        </w:tc>
        <w:tc>
          <w:tcPr>
            <w:tcW w:w="2268"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江苏教育报刊总社</w:t>
            </w:r>
          </w:p>
        </w:tc>
        <w:tc>
          <w:tcPr>
            <w:tcW w:w="1751"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恽蝶</w:t>
            </w:r>
          </w:p>
        </w:tc>
        <w:tc>
          <w:tcPr>
            <w:tcW w:w="3544"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案例《作业GPS：构建自主“导航”体系，学习直通无负担  》获得常州市双减案例三等奖</w:t>
            </w:r>
          </w:p>
        </w:tc>
        <w:tc>
          <w:tcPr>
            <w:tcW w:w="2268"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常州市教育局</w:t>
            </w:r>
          </w:p>
        </w:tc>
        <w:tc>
          <w:tcPr>
            <w:tcW w:w="1751"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张思月</w:t>
            </w:r>
          </w:p>
        </w:tc>
        <w:tc>
          <w:tcPr>
            <w:tcW w:w="3544"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论文《“互联网+”技术支持下小学数学作业的多元化设计》获新北区“师陶杯”中小学教育参评论文二等奖</w:t>
            </w:r>
          </w:p>
        </w:tc>
        <w:tc>
          <w:tcPr>
            <w:tcW w:w="2268"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新北区教师发展中心</w:t>
            </w:r>
          </w:p>
        </w:tc>
        <w:tc>
          <w:tcPr>
            <w:tcW w:w="1751"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2023.09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张思月</w:t>
            </w:r>
          </w:p>
        </w:tc>
        <w:tc>
          <w:tcPr>
            <w:tcW w:w="3544"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孟河中心小学优秀作业设计案例数学学科一等奖</w:t>
            </w:r>
          </w:p>
        </w:tc>
        <w:tc>
          <w:tcPr>
            <w:tcW w:w="2268"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新北区孟河中心小学</w:t>
            </w:r>
          </w:p>
        </w:tc>
        <w:tc>
          <w:tcPr>
            <w:tcW w:w="1751"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2023.10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恽  蝶</w:t>
            </w:r>
          </w:p>
        </w:tc>
        <w:tc>
          <w:tcPr>
            <w:tcW w:w="3544"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孟河中心小学优秀作业设计案例数学学科一等奖</w:t>
            </w:r>
          </w:p>
        </w:tc>
        <w:tc>
          <w:tcPr>
            <w:tcW w:w="2268"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新北区孟河中心小学</w:t>
            </w:r>
          </w:p>
        </w:tc>
        <w:tc>
          <w:tcPr>
            <w:tcW w:w="1751"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2023.10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恽  蝶</w:t>
            </w:r>
          </w:p>
        </w:tc>
        <w:tc>
          <w:tcPr>
            <w:tcW w:w="3544"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孟河中心小学育人故事案例评比二等奖</w:t>
            </w:r>
          </w:p>
        </w:tc>
        <w:tc>
          <w:tcPr>
            <w:tcW w:w="2268"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新北区孟河中心小学</w:t>
            </w:r>
          </w:p>
        </w:tc>
        <w:tc>
          <w:tcPr>
            <w:tcW w:w="1751" w:type="dxa"/>
            <w:vAlign w:val="center"/>
          </w:tcPr>
          <w:p>
            <w:pPr>
              <w:adjustRightInd w:val="0"/>
              <w:snapToGrid w:val="0"/>
              <w:spacing w:line="500" w:lineRule="exact"/>
              <w:rPr>
                <w:rFonts w:hint="eastAsia" w:asciiTheme="minorEastAsia" w:hAnsiTheme="minorEastAsia" w:cstheme="minorEastAsia"/>
                <w:sz w:val="24"/>
              </w:rPr>
            </w:pPr>
            <w:r>
              <w:rPr>
                <w:rFonts w:hint="eastAsia"/>
                <w:color w:val="000000"/>
              </w:rPr>
              <w:t>2023.11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张思月</w:t>
            </w:r>
          </w:p>
        </w:tc>
        <w:tc>
          <w:tcPr>
            <w:tcW w:w="3544" w:type="dxa"/>
            <w:vAlign w:val="center"/>
          </w:tcPr>
          <w:p>
            <w:pPr>
              <w:adjustRightInd w:val="0"/>
              <w:snapToGrid w:val="0"/>
              <w:spacing w:line="500" w:lineRule="exact"/>
              <w:rPr>
                <w:rFonts w:hint="eastAsia"/>
                <w:color w:val="000000"/>
              </w:rPr>
            </w:pPr>
            <w:r>
              <w:rPr>
                <w:rFonts w:hint="eastAsia"/>
              </w:rPr>
              <w:t>执教区级公开课：五年级上册《解决问题的策略》</w:t>
            </w:r>
          </w:p>
        </w:tc>
        <w:tc>
          <w:tcPr>
            <w:tcW w:w="2268" w:type="dxa"/>
            <w:vAlign w:val="center"/>
          </w:tcPr>
          <w:p>
            <w:pPr>
              <w:adjustRightInd w:val="0"/>
              <w:snapToGrid w:val="0"/>
              <w:spacing w:line="500" w:lineRule="exact"/>
              <w:rPr>
                <w:rFonts w:hint="eastAsia"/>
                <w:color w:val="000000"/>
              </w:rPr>
            </w:pPr>
            <w:r>
              <w:rPr>
                <w:rFonts w:hint="eastAsia"/>
                <w:color w:val="000000"/>
              </w:rPr>
              <w:t>新北区教师发展中心</w:t>
            </w:r>
          </w:p>
        </w:tc>
        <w:tc>
          <w:tcPr>
            <w:tcW w:w="1751" w:type="dxa"/>
            <w:vAlign w:val="center"/>
          </w:tcPr>
          <w:p>
            <w:pPr>
              <w:adjustRightInd w:val="0"/>
              <w:snapToGrid w:val="0"/>
              <w:spacing w:line="500" w:lineRule="exact"/>
              <w:rPr>
                <w:rFonts w:hint="eastAsia"/>
                <w:color w:val="000000"/>
              </w:rPr>
            </w:pPr>
            <w:r>
              <w:rPr>
                <w:rFonts w:hint="eastAsia"/>
              </w:rPr>
              <w:t>2023.12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恽  蝶</w:t>
            </w:r>
          </w:p>
        </w:tc>
        <w:tc>
          <w:tcPr>
            <w:tcW w:w="3544" w:type="dxa"/>
            <w:vAlign w:val="center"/>
          </w:tcPr>
          <w:p>
            <w:pPr>
              <w:adjustRightInd w:val="0"/>
              <w:snapToGrid w:val="0"/>
              <w:spacing w:line="500" w:lineRule="exact"/>
              <w:rPr>
                <w:rFonts w:hint="eastAsia"/>
                <w:color w:val="000000"/>
              </w:rPr>
            </w:pPr>
            <w:r>
              <w:rPr>
                <w:rFonts w:hint="eastAsia"/>
                <w:color w:val="000000"/>
              </w:rPr>
              <w:t>执教三校联合公开课：四年级上册《可能性》</w:t>
            </w:r>
          </w:p>
        </w:tc>
        <w:tc>
          <w:tcPr>
            <w:tcW w:w="2268" w:type="dxa"/>
            <w:vAlign w:val="center"/>
          </w:tcPr>
          <w:p>
            <w:pPr>
              <w:adjustRightInd w:val="0"/>
              <w:snapToGrid w:val="0"/>
              <w:spacing w:line="500" w:lineRule="exact"/>
              <w:rPr>
                <w:rFonts w:hint="eastAsia"/>
                <w:color w:val="000000"/>
              </w:rPr>
            </w:pPr>
            <w:r>
              <w:rPr>
                <w:rFonts w:hint="eastAsia"/>
                <w:color w:val="000000"/>
              </w:rPr>
              <w:t>新北区教师发展中心</w:t>
            </w:r>
          </w:p>
        </w:tc>
        <w:tc>
          <w:tcPr>
            <w:tcW w:w="1751" w:type="dxa"/>
            <w:vAlign w:val="center"/>
          </w:tcPr>
          <w:p>
            <w:pPr>
              <w:adjustRightInd w:val="0"/>
              <w:snapToGrid w:val="0"/>
              <w:spacing w:line="500" w:lineRule="exact"/>
              <w:rPr>
                <w:rFonts w:hint="eastAsia"/>
                <w:color w:val="000000"/>
              </w:rPr>
            </w:pPr>
            <w:r>
              <w:rPr>
                <w:rFonts w:hint="eastAsia"/>
                <w:color w:val="000000"/>
              </w:rPr>
              <w:t xml:space="preserve">2023.10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恽  蝶</w:t>
            </w:r>
          </w:p>
        </w:tc>
        <w:tc>
          <w:tcPr>
            <w:tcW w:w="3544" w:type="dxa"/>
            <w:vAlign w:val="center"/>
          </w:tcPr>
          <w:p>
            <w:pPr>
              <w:adjustRightInd w:val="0"/>
              <w:snapToGrid w:val="0"/>
              <w:spacing w:line="500" w:lineRule="exact"/>
              <w:rPr>
                <w:rFonts w:hint="eastAsia"/>
                <w:color w:val="000000"/>
              </w:rPr>
            </w:pPr>
            <w:r>
              <w:rPr>
                <w:rFonts w:hint="eastAsia"/>
                <w:color w:val="000000"/>
              </w:rPr>
              <w:t>执教城乡牵手区级公开课：四年级上册《可能性》</w:t>
            </w:r>
          </w:p>
        </w:tc>
        <w:tc>
          <w:tcPr>
            <w:tcW w:w="2268" w:type="dxa"/>
            <w:vAlign w:val="center"/>
          </w:tcPr>
          <w:p>
            <w:pPr>
              <w:adjustRightInd w:val="0"/>
              <w:snapToGrid w:val="0"/>
              <w:spacing w:line="500" w:lineRule="exact"/>
              <w:rPr>
                <w:rFonts w:hint="eastAsia"/>
                <w:color w:val="000000"/>
              </w:rPr>
            </w:pPr>
            <w:r>
              <w:rPr>
                <w:rFonts w:hint="eastAsia"/>
                <w:color w:val="000000"/>
              </w:rPr>
              <w:t>新北区教师发展中心</w:t>
            </w:r>
          </w:p>
        </w:tc>
        <w:tc>
          <w:tcPr>
            <w:tcW w:w="1751" w:type="dxa"/>
            <w:vAlign w:val="center"/>
          </w:tcPr>
          <w:p>
            <w:pPr>
              <w:adjustRightInd w:val="0"/>
              <w:snapToGrid w:val="0"/>
              <w:spacing w:line="500" w:lineRule="exact"/>
              <w:rPr>
                <w:rFonts w:hint="eastAsia"/>
                <w:color w:val="000000"/>
              </w:rPr>
            </w:pPr>
            <w:r>
              <w:rPr>
                <w:rFonts w:hint="eastAsia"/>
                <w:color w:val="000000"/>
              </w:rPr>
              <w:t xml:space="preserve">2023.10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rPr>
              <w:t>董博宇</w:t>
            </w:r>
          </w:p>
        </w:tc>
        <w:tc>
          <w:tcPr>
            <w:tcW w:w="3544" w:type="dxa"/>
            <w:vAlign w:val="center"/>
          </w:tcPr>
          <w:p>
            <w:pPr>
              <w:adjustRightInd w:val="0"/>
              <w:snapToGrid w:val="0"/>
              <w:spacing w:line="500" w:lineRule="exact"/>
              <w:rPr>
                <w:rFonts w:hint="eastAsia"/>
                <w:color w:val="000000"/>
              </w:rPr>
            </w:pPr>
            <w:r>
              <w:rPr>
                <w:rFonts w:hint="eastAsia"/>
              </w:rPr>
              <w:t>“数”里迎新会生活元旦实践作业评比一等奖</w:t>
            </w:r>
          </w:p>
        </w:tc>
        <w:tc>
          <w:tcPr>
            <w:tcW w:w="2268" w:type="dxa"/>
            <w:vAlign w:val="center"/>
          </w:tcPr>
          <w:p>
            <w:pPr>
              <w:adjustRightInd w:val="0"/>
              <w:snapToGrid w:val="0"/>
              <w:spacing w:line="500" w:lineRule="exact"/>
              <w:rPr>
                <w:rFonts w:hint="eastAsia"/>
                <w:color w:val="000000"/>
              </w:rPr>
            </w:pPr>
            <w:r>
              <w:rPr>
                <w:rFonts w:hint="eastAsia"/>
              </w:rPr>
              <w:t>五（1）</w:t>
            </w:r>
          </w:p>
        </w:tc>
        <w:tc>
          <w:tcPr>
            <w:tcW w:w="1751" w:type="dxa"/>
            <w:vAlign w:val="bottom"/>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rPr>
              <w:t>巢欣玥</w:t>
            </w:r>
          </w:p>
        </w:tc>
        <w:tc>
          <w:tcPr>
            <w:tcW w:w="3544" w:type="dxa"/>
            <w:vAlign w:val="center"/>
          </w:tcPr>
          <w:p>
            <w:pPr>
              <w:adjustRightInd w:val="0"/>
              <w:snapToGrid w:val="0"/>
              <w:spacing w:line="500" w:lineRule="exact"/>
              <w:rPr>
                <w:rFonts w:hint="eastAsia"/>
                <w:color w:val="000000"/>
              </w:rPr>
            </w:pPr>
            <w:r>
              <w:rPr>
                <w:rFonts w:hint="eastAsia"/>
              </w:rPr>
              <w:t>“数”里迎新会生活元旦实践作业评比一等奖</w:t>
            </w:r>
          </w:p>
        </w:tc>
        <w:tc>
          <w:tcPr>
            <w:tcW w:w="2268" w:type="dxa"/>
            <w:vAlign w:val="center"/>
          </w:tcPr>
          <w:p>
            <w:pPr>
              <w:adjustRightInd w:val="0"/>
              <w:snapToGrid w:val="0"/>
              <w:spacing w:line="500" w:lineRule="exact"/>
              <w:rPr>
                <w:rFonts w:hint="eastAsia"/>
                <w:color w:val="000000"/>
              </w:rPr>
            </w:pPr>
            <w:r>
              <w:rPr>
                <w:rFonts w:hint="eastAsia"/>
              </w:rPr>
              <w:t>五（2）</w:t>
            </w:r>
          </w:p>
        </w:tc>
        <w:tc>
          <w:tcPr>
            <w:tcW w:w="1751" w:type="dxa"/>
            <w:vAlign w:val="bottom"/>
          </w:tcPr>
          <w:p>
            <w:pPr>
              <w:adjustRightInd w:val="0"/>
              <w:snapToGrid w:val="0"/>
              <w:spacing w:line="500" w:lineRule="exact"/>
              <w:rPr>
                <w:rFonts w:hint="eastAsia"/>
                <w:color w:val="000000"/>
              </w:rPr>
            </w:pPr>
            <w:r>
              <w:rPr>
                <w:rFonts w:hint="eastAsia"/>
                <w:color w:val="000000"/>
              </w:rPr>
              <w:t>张思月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rPr>
              <w:t>邱泽宇</w:t>
            </w:r>
          </w:p>
        </w:tc>
        <w:tc>
          <w:tcPr>
            <w:tcW w:w="3544" w:type="dxa"/>
            <w:vAlign w:val="center"/>
          </w:tcPr>
          <w:p>
            <w:pPr>
              <w:adjustRightInd w:val="0"/>
              <w:snapToGrid w:val="0"/>
              <w:spacing w:line="500" w:lineRule="exact"/>
              <w:rPr>
                <w:rFonts w:hint="eastAsia"/>
                <w:color w:val="000000"/>
              </w:rPr>
            </w:pPr>
            <w:r>
              <w:rPr>
                <w:rFonts w:hint="eastAsia"/>
              </w:rPr>
              <w:t>“数”里迎新会生活元旦实践作业评比一等奖</w:t>
            </w:r>
          </w:p>
        </w:tc>
        <w:tc>
          <w:tcPr>
            <w:tcW w:w="2268" w:type="dxa"/>
            <w:vAlign w:val="center"/>
          </w:tcPr>
          <w:p>
            <w:pPr>
              <w:adjustRightInd w:val="0"/>
              <w:snapToGrid w:val="0"/>
              <w:spacing w:line="500" w:lineRule="exact"/>
              <w:rPr>
                <w:rFonts w:hint="eastAsia"/>
                <w:color w:val="000000"/>
              </w:rPr>
            </w:pPr>
            <w:r>
              <w:rPr>
                <w:rFonts w:hint="eastAsia"/>
              </w:rPr>
              <w:t>五（3）</w:t>
            </w:r>
          </w:p>
        </w:tc>
        <w:tc>
          <w:tcPr>
            <w:tcW w:w="1751" w:type="dxa"/>
            <w:vAlign w:val="bottom"/>
          </w:tcPr>
          <w:p>
            <w:pPr>
              <w:adjustRightInd w:val="0"/>
              <w:snapToGrid w:val="0"/>
              <w:spacing w:line="500" w:lineRule="exact"/>
              <w:rPr>
                <w:rFonts w:hint="eastAsia"/>
                <w:color w:val="000000"/>
              </w:rPr>
            </w:pPr>
            <w:r>
              <w:rPr>
                <w:rFonts w:hint="eastAsia"/>
                <w:color w:val="000000"/>
              </w:rPr>
              <w:t>张思月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李鑫钰</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江苏省第十六届“小数报杯•小小数学家”暑假快乐思维营活动中荣获五年级组努力坚持奖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五（2）</w:t>
            </w:r>
          </w:p>
        </w:tc>
        <w:tc>
          <w:tcPr>
            <w:tcW w:w="1751" w:type="dxa"/>
            <w:vAlign w:val="center"/>
          </w:tcPr>
          <w:p>
            <w:pPr>
              <w:adjustRightInd w:val="0"/>
              <w:snapToGrid w:val="0"/>
              <w:spacing w:line="500" w:lineRule="exact"/>
              <w:rPr>
                <w:rFonts w:hint="eastAsia"/>
                <w:color w:val="000000"/>
              </w:rPr>
            </w:pPr>
            <w:r>
              <w:rPr>
                <w:rFonts w:hint="eastAsia"/>
                <w:color w:val="000000"/>
              </w:rPr>
              <w:t>张思月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李鑫钰</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江苏省第十六届“小数报杯•小小数学家”暑假快乐思维营活动中荣获五年级组快乐思维一等奖</w:t>
            </w:r>
          </w:p>
        </w:tc>
        <w:tc>
          <w:tcPr>
            <w:tcW w:w="2268" w:type="dxa"/>
            <w:vAlign w:val="center"/>
          </w:tcPr>
          <w:p>
            <w:pPr>
              <w:adjustRightInd w:val="0"/>
              <w:snapToGrid w:val="0"/>
              <w:spacing w:line="500" w:lineRule="exact"/>
              <w:rPr>
                <w:rFonts w:hint="eastAsia"/>
                <w:color w:val="000000"/>
              </w:rPr>
            </w:pPr>
            <w:r>
              <w:rPr>
                <w:rFonts w:hint="eastAsia"/>
                <w:color w:val="000000"/>
              </w:rPr>
              <w:t>五（2）</w:t>
            </w:r>
          </w:p>
        </w:tc>
        <w:tc>
          <w:tcPr>
            <w:tcW w:w="1751" w:type="dxa"/>
            <w:vAlign w:val="center"/>
          </w:tcPr>
          <w:p>
            <w:pPr>
              <w:adjustRightInd w:val="0"/>
              <w:snapToGrid w:val="0"/>
              <w:spacing w:line="500" w:lineRule="exact"/>
              <w:rPr>
                <w:rFonts w:hint="eastAsia"/>
                <w:color w:val="000000"/>
              </w:rPr>
            </w:pPr>
            <w:r>
              <w:rPr>
                <w:rFonts w:hint="eastAsia"/>
                <w:color w:val="000000"/>
              </w:rPr>
              <w:t>张思月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陈嘉豪</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江苏省第十六届“小数报杯•小小数学家”暑假快乐思维营活动中荣获五年级组快乐思维二等奖</w:t>
            </w:r>
          </w:p>
        </w:tc>
        <w:tc>
          <w:tcPr>
            <w:tcW w:w="2268" w:type="dxa"/>
            <w:vAlign w:val="center"/>
          </w:tcPr>
          <w:p>
            <w:pPr>
              <w:adjustRightInd w:val="0"/>
              <w:snapToGrid w:val="0"/>
              <w:spacing w:line="500" w:lineRule="exact"/>
              <w:rPr>
                <w:rFonts w:hint="eastAsia"/>
                <w:color w:val="000000"/>
              </w:rPr>
            </w:pPr>
            <w:r>
              <w:rPr>
                <w:rFonts w:hint="eastAsia"/>
                <w:color w:val="000000"/>
              </w:rPr>
              <w:t>五（2）</w:t>
            </w:r>
          </w:p>
        </w:tc>
        <w:tc>
          <w:tcPr>
            <w:tcW w:w="1751" w:type="dxa"/>
            <w:vAlign w:val="center"/>
          </w:tcPr>
          <w:p>
            <w:pPr>
              <w:adjustRightInd w:val="0"/>
              <w:snapToGrid w:val="0"/>
              <w:spacing w:line="500" w:lineRule="exact"/>
              <w:rPr>
                <w:rFonts w:hint="eastAsia"/>
                <w:color w:val="000000"/>
              </w:rPr>
            </w:pPr>
            <w:r>
              <w:rPr>
                <w:rFonts w:hint="eastAsia"/>
                <w:color w:val="000000"/>
              </w:rPr>
              <w:t>张思月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陈嘉豪</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江苏省第十六届“小数报杯•小小数学家”暑假快乐思维营活动中荣获五年级组努力坚持奖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五（2）</w:t>
            </w:r>
          </w:p>
        </w:tc>
        <w:tc>
          <w:tcPr>
            <w:tcW w:w="1751" w:type="dxa"/>
            <w:vAlign w:val="center"/>
          </w:tcPr>
          <w:p>
            <w:pPr>
              <w:adjustRightInd w:val="0"/>
              <w:snapToGrid w:val="0"/>
              <w:spacing w:line="500" w:lineRule="exact"/>
              <w:rPr>
                <w:rFonts w:hint="eastAsia"/>
                <w:color w:val="000000"/>
              </w:rPr>
            </w:pPr>
            <w:r>
              <w:rPr>
                <w:rFonts w:hint="eastAsia"/>
                <w:color w:val="000000"/>
              </w:rPr>
              <w:t>张思月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江雨欣</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江苏省第十六届“小数报杯•小小数学家”暑假快乐思维营活动中荣获五年级组努力坚持奖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五（2）</w:t>
            </w:r>
          </w:p>
        </w:tc>
        <w:tc>
          <w:tcPr>
            <w:tcW w:w="1751" w:type="dxa"/>
            <w:vAlign w:val="center"/>
          </w:tcPr>
          <w:p>
            <w:pPr>
              <w:adjustRightInd w:val="0"/>
              <w:snapToGrid w:val="0"/>
              <w:spacing w:line="500" w:lineRule="exact"/>
              <w:rPr>
                <w:rFonts w:hint="eastAsia"/>
                <w:color w:val="000000"/>
              </w:rPr>
            </w:pPr>
            <w:r>
              <w:rPr>
                <w:rFonts w:hint="eastAsia"/>
                <w:color w:val="000000"/>
              </w:rPr>
              <w:t>张思月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石翔宇</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江苏省第十六届“小数报杯•小小数学家”暑假快乐思维营活动中荣获五年级组努力坚持奖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五（2）</w:t>
            </w:r>
          </w:p>
        </w:tc>
        <w:tc>
          <w:tcPr>
            <w:tcW w:w="1751" w:type="dxa"/>
            <w:vAlign w:val="center"/>
          </w:tcPr>
          <w:p>
            <w:pPr>
              <w:adjustRightInd w:val="0"/>
              <w:snapToGrid w:val="0"/>
              <w:spacing w:line="500" w:lineRule="exact"/>
              <w:rPr>
                <w:rFonts w:hint="eastAsia"/>
                <w:color w:val="000000"/>
              </w:rPr>
            </w:pPr>
            <w:r>
              <w:rPr>
                <w:rFonts w:hint="eastAsia"/>
                <w:color w:val="000000"/>
              </w:rPr>
              <w:t>张思月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梅雅悦</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江苏省第十六届“小数报杯•小小数学家”暑假快乐思维营活动中荣获五年级组努力坚持奖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五（2）</w:t>
            </w:r>
          </w:p>
        </w:tc>
        <w:tc>
          <w:tcPr>
            <w:tcW w:w="1751" w:type="dxa"/>
            <w:vAlign w:val="center"/>
          </w:tcPr>
          <w:p>
            <w:pPr>
              <w:adjustRightInd w:val="0"/>
              <w:snapToGrid w:val="0"/>
              <w:spacing w:line="500" w:lineRule="exact"/>
              <w:rPr>
                <w:rFonts w:hint="eastAsia"/>
                <w:color w:val="000000"/>
              </w:rPr>
            </w:pPr>
            <w:r>
              <w:rPr>
                <w:rFonts w:hint="eastAsia"/>
                <w:color w:val="000000"/>
              </w:rPr>
              <w:t>张思月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梅雅悦</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江苏省第十六届“小数报杯•小小数学家”暑假快乐思维营活动中荣获五年级组快乐思维一等奖</w:t>
            </w:r>
          </w:p>
        </w:tc>
        <w:tc>
          <w:tcPr>
            <w:tcW w:w="2268" w:type="dxa"/>
            <w:vAlign w:val="center"/>
          </w:tcPr>
          <w:p>
            <w:pPr>
              <w:adjustRightInd w:val="0"/>
              <w:snapToGrid w:val="0"/>
              <w:spacing w:line="500" w:lineRule="exact"/>
              <w:rPr>
                <w:rFonts w:hint="eastAsia"/>
                <w:color w:val="000000"/>
              </w:rPr>
            </w:pPr>
            <w:r>
              <w:rPr>
                <w:rFonts w:hint="eastAsia"/>
                <w:color w:val="000000"/>
              </w:rPr>
              <w:t>五（2）</w:t>
            </w:r>
          </w:p>
        </w:tc>
        <w:tc>
          <w:tcPr>
            <w:tcW w:w="1751" w:type="dxa"/>
            <w:vAlign w:val="center"/>
          </w:tcPr>
          <w:p>
            <w:pPr>
              <w:adjustRightInd w:val="0"/>
              <w:snapToGrid w:val="0"/>
              <w:spacing w:line="500" w:lineRule="exact"/>
              <w:rPr>
                <w:rFonts w:hint="eastAsia"/>
                <w:color w:val="000000"/>
              </w:rPr>
            </w:pPr>
            <w:r>
              <w:rPr>
                <w:rFonts w:hint="eastAsia"/>
                <w:color w:val="000000"/>
              </w:rPr>
              <w:t>张思月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胡珂安</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江苏省第十六届“小数报杯•小小数学家”暑假快乐思维营活动中荣获五年级组快乐思维二等奖</w:t>
            </w:r>
          </w:p>
        </w:tc>
        <w:tc>
          <w:tcPr>
            <w:tcW w:w="2268" w:type="dxa"/>
            <w:vAlign w:val="center"/>
          </w:tcPr>
          <w:p>
            <w:pPr>
              <w:adjustRightInd w:val="0"/>
              <w:snapToGrid w:val="0"/>
              <w:spacing w:line="500" w:lineRule="exact"/>
              <w:rPr>
                <w:rFonts w:hint="eastAsia"/>
                <w:color w:val="000000"/>
              </w:rPr>
            </w:pPr>
            <w:r>
              <w:rPr>
                <w:rFonts w:hint="eastAsia"/>
                <w:color w:val="000000"/>
              </w:rPr>
              <w:t>五（2）</w:t>
            </w:r>
          </w:p>
        </w:tc>
        <w:tc>
          <w:tcPr>
            <w:tcW w:w="1751" w:type="dxa"/>
            <w:vAlign w:val="center"/>
          </w:tcPr>
          <w:p>
            <w:pPr>
              <w:adjustRightInd w:val="0"/>
              <w:snapToGrid w:val="0"/>
              <w:spacing w:line="500" w:lineRule="exact"/>
              <w:rPr>
                <w:rFonts w:hint="eastAsia"/>
                <w:color w:val="000000"/>
              </w:rPr>
            </w:pPr>
            <w:r>
              <w:rPr>
                <w:rFonts w:hint="eastAsia"/>
                <w:color w:val="000000"/>
              </w:rPr>
              <w:t>张思月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胡珂安</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江苏省第十六届“小数报杯•小小数学家”暑假快乐思维营活动中荣获五年级组努力坚持奖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五（2）</w:t>
            </w:r>
          </w:p>
        </w:tc>
        <w:tc>
          <w:tcPr>
            <w:tcW w:w="1751" w:type="dxa"/>
            <w:vAlign w:val="center"/>
          </w:tcPr>
          <w:p>
            <w:pPr>
              <w:adjustRightInd w:val="0"/>
              <w:snapToGrid w:val="0"/>
              <w:spacing w:line="500" w:lineRule="exact"/>
              <w:rPr>
                <w:rFonts w:hint="eastAsia"/>
                <w:color w:val="000000"/>
              </w:rPr>
            </w:pPr>
            <w:r>
              <w:rPr>
                <w:rFonts w:hint="eastAsia"/>
                <w:color w:val="000000"/>
              </w:rPr>
              <w:t>张思月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雷程霖</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江苏省第十六届“小数报杯•小小数学家”暑假快乐思维营活动中荣获五年级组总冠军</w:t>
            </w:r>
          </w:p>
        </w:tc>
        <w:tc>
          <w:tcPr>
            <w:tcW w:w="2268" w:type="dxa"/>
            <w:vAlign w:val="center"/>
          </w:tcPr>
          <w:p>
            <w:pPr>
              <w:adjustRightInd w:val="0"/>
              <w:snapToGrid w:val="0"/>
              <w:spacing w:line="500" w:lineRule="exact"/>
              <w:rPr>
                <w:rFonts w:hint="eastAsia"/>
                <w:color w:val="000000"/>
              </w:rPr>
            </w:pPr>
            <w:r>
              <w:rPr>
                <w:rFonts w:hint="eastAsia"/>
                <w:color w:val="000000"/>
              </w:rPr>
              <w:t>五（1）</w:t>
            </w:r>
          </w:p>
        </w:tc>
        <w:tc>
          <w:tcPr>
            <w:tcW w:w="1751" w:type="dxa"/>
            <w:vAlign w:val="center"/>
          </w:tcPr>
          <w:p>
            <w:pPr>
              <w:adjustRightInd w:val="0"/>
              <w:snapToGrid w:val="0"/>
              <w:spacing w:line="500" w:lineRule="exact"/>
              <w:rPr>
                <w:rFonts w:hint="eastAsia"/>
                <w:color w:val="000000"/>
              </w:rPr>
            </w:pPr>
            <w:r>
              <w:rPr>
                <w:rFonts w:hint="eastAsia"/>
                <w:color w:val="000000"/>
              </w:rPr>
              <w:t>张思月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雷程霖</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江苏省第十六届“小数报杯•小小数学家”暑假快乐思维营活动中荣获五年级组努力坚持奖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五（1）</w:t>
            </w:r>
          </w:p>
        </w:tc>
        <w:tc>
          <w:tcPr>
            <w:tcW w:w="1751" w:type="dxa"/>
            <w:vAlign w:val="center"/>
          </w:tcPr>
          <w:p>
            <w:pPr>
              <w:adjustRightInd w:val="0"/>
              <w:snapToGrid w:val="0"/>
              <w:spacing w:line="500" w:lineRule="exact"/>
              <w:rPr>
                <w:rFonts w:hint="eastAsia"/>
                <w:color w:val="000000"/>
              </w:rPr>
            </w:pPr>
            <w:r>
              <w:rPr>
                <w:rFonts w:hint="eastAsia"/>
                <w:color w:val="000000"/>
              </w:rPr>
              <w:t>张思月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张砚博</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江苏省第十六届“小数报杯•小小数学家”暑假快乐思维营活动中荣获五年级组快乐思维二等奖</w:t>
            </w:r>
          </w:p>
        </w:tc>
        <w:tc>
          <w:tcPr>
            <w:tcW w:w="2268" w:type="dxa"/>
            <w:vAlign w:val="center"/>
          </w:tcPr>
          <w:p>
            <w:pPr>
              <w:adjustRightInd w:val="0"/>
              <w:snapToGrid w:val="0"/>
              <w:spacing w:line="500" w:lineRule="exact"/>
              <w:rPr>
                <w:rFonts w:hint="eastAsia"/>
                <w:color w:val="000000"/>
              </w:rPr>
            </w:pPr>
            <w:r>
              <w:rPr>
                <w:rFonts w:hint="eastAsia"/>
                <w:color w:val="000000"/>
              </w:rPr>
              <w:t>五（1）</w:t>
            </w:r>
          </w:p>
        </w:tc>
        <w:tc>
          <w:tcPr>
            <w:tcW w:w="1751" w:type="dxa"/>
            <w:vAlign w:val="center"/>
          </w:tcPr>
          <w:p>
            <w:pPr>
              <w:adjustRightInd w:val="0"/>
              <w:snapToGrid w:val="0"/>
              <w:spacing w:line="500" w:lineRule="exact"/>
              <w:rPr>
                <w:rFonts w:hint="eastAsia"/>
                <w:color w:val="000000"/>
              </w:rPr>
            </w:pPr>
            <w:r>
              <w:rPr>
                <w:rFonts w:hint="eastAsia"/>
                <w:color w:val="000000"/>
              </w:rPr>
              <w:t>张思月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张砚博</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江苏省第十六届“小数报杯•小小数学家”暑假快乐思维营活动中荣获五年级组努力坚持奖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五（1）</w:t>
            </w:r>
          </w:p>
        </w:tc>
        <w:tc>
          <w:tcPr>
            <w:tcW w:w="1751" w:type="dxa"/>
            <w:vAlign w:val="center"/>
          </w:tcPr>
          <w:p>
            <w:pPr>
              <w:adjustRightInd w:val="0"/>
              <w:snapToGrid w:val="0"/>
              <w:spacing w:line="500" w:lineRule="exact"/>
              <w:rPr>
                <w:rFonts w:hint="eastAsia"/>
                <w:color w:val="000000"/>
              </w:rPr>
            </w:pPr>
            <w:r>
              <w:rPr>
                <w:rFonts w:hint="eastAsia"/>
                <w:color w:val="000000"/>
              </w:rPr>
              <w:t>张思月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赵宇萱</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江苏省第十六届“小数报杯•小小数学家”暑假快乐思维营活动中荣获三年级组努力坚持奖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三（3）</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谢蒋淏</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江苏省第十六届“小数报杯•小小数学家”暑假快乐思维营活动中荣获三年级组努力坚持奖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三（3）</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邱兴宇</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江苏省第十六届“小数报杯•小小数学家”暑假快乐思维营活动中荣获三年级组努力坚持奖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三（3）</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汤宇轩</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江苏省第十六届“小数报杯•小小数学家”暑假快乐思维营活动中荣获三年级组努力坚持奖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三（3）</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徐严希</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江苏省第十六届“小数报杯•小小数学家”暑假快乐思维营活动中荣获三年级组努力坚持奖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三（3）</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江昀宸</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江苏省第十六届“小数报杯•小小数学家”暑假快乐思维营活动中荣获三年级组努力坚持奖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三（3）</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董铖瀚</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江苏省第十六届“小数报杯•小小数学家”暑假快乐思维营活动中荣获三年级组努力坚持奖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三（3）</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宫梓琪</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江苏省第十六届“小数报杯•小小数学家”暑假快乐思维营活动中荣获三年级组努力坚持奖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三（3）</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赵宇萱</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江苏省第十六届“小数报杯•小小数学家”暑假快乐思维营活动中荣获三年级组努力坚持奖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三（3）</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谢蒋淏</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江苏省第十六届“小数报杯•小小数学家”暑假快乐思维营活动中荣获三年级组努力坚持奖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三（3）</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严宇翔</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江苏省第十六届“小数报杯•小小数学家”暑假快乐思维营活动中荣获三年级组快乐思维二等奖</w:t>
            </w:r>
          </w:p>
        </w:tc>
        <w:tc>
          <w:tcPr>
            <w:tcW w:w="2268" w:type="dxa"/>
            <w:vAlign w:val="center"/>
          </w:tcPr>
          <w:p>
            <w:pPr>
              <w:adjustRightInd w:val="0"/>
              <w:snapToGrid w:val="0"/>
              <w:spacing w:line="500" w:lineRule="exact"/>
              <w:rPr>
                <w:rFonts w:hint="eastAsia"/>
                <w:color w:val="000000"/>
              </w:rPr>
            </w:pPr>
            <w:r>
              <w:rPr>
                <w:rFonts w:hint="eastAsia"/>
                <w:color w:val="000000"/>
              </w:rPr>
              <w:t>三（3）</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赵宇萱</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江苏省第十六届“小数报杯•小小数学家”暑假快乐思维营活动中荣获三年级组快乐思维一等奖</w:t>
            </w:r>
          </w:p>
        </w:tc>
        <w:tc>
          <w:tcPr>
            <w:tcW w:w="2268" w:type="dxa"/>
            <w:vAlign w:val="center"/>
          </w:tcPr>
          <w:p>
            <w:pPr>
              <w:adjustRightInd w:val="0"/>
              <w:snapToGrid w:val="0"/>
              <w:spacing w:line="500" w:lineRule="exact"/>
              <w:rPr>
                <w:rFonts w:hint="eastAsia"/>
                <w:color w:val="000000"/>
              </w:rPr>
            </w:pPr>
            <w:r>
              <w:rPr>
                <w:rFonts w:hint="eastAsia"/>
                <w:color w:val="000000"/>
              </w:rPr>
              <w:t>三（3）</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谢蒋淏</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江苏省第十六届“小数报杯•小小数学家”暑假快乐思维营活动中荣获三年级组快乐思维三等奖</w:t>
            </w:r>
          </w:p>
        </w:tc>
        <w:tc>
          <w:tcPr>
            <w:tcW w:w="2268" w:type="dxa"/>
            <w:vAlign w:val="center"/>
          </w:tcPr>
          <w:p>
            <w:pPr>
              <w:adjustRightInd w:val="0"/>
              <w:snapToGrid w:val="0"/>
              <w:spacing w:line="500" w:lineRule="exact"/>
              <w:rPr>
                <w:rFonts w:hint="eastAsia"/>
                <w:color w:val="000000"/>
              </w:rPr>
            </w:pPr>
            <w:r>
              <w:rPr>
                <w:rFonts w:hint="eastAsia"/>
                <w:color w:val="000000"/>
              </w:rPr>
              <w:t>三（3）</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邱兴宇</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江苏省第十六届“小数报杯•小小数学家”暑假快乐思维营活动中荣获三年级组快乐思维二等奖</w:t>
            </w:r>
          </w:p>
        </w:tc>
        <w:tc>
          <w:tcPr>
            <w:tcW w:w="2268" w:type="dxa"/>
            <w:vAlign w:val="center"/>
          </w:tcPr>
          <w:p>
            <w:pPr>
              <w:adjustRightInd w:val="0"/>
              <w:snapToGrid w:val="0"/>
              <w:spacing w:line="500" w:lineRule="exact"/>
              <w:rPr>
                <w:rFonts w:hint="eastAsia"/>
                <w:color w:val="000000"/>
              </w:rPr>
            </w:pPr>
            <w:r>
              <w:rPr>
                <w:rFonts w:hint="eastAsia"/>
                <w:color w:val="000000"/>
              </w:rPr>
              <w:t>三（3）</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汤宇轩</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江苏省第十六届“小数报杯•小小数学家”暑假快乐思维营活动中荣获三年级组快乐思维三等奖</w:t>
            </w:r>
          </w:p>
        </w:tc>
        <w:tc>
          <w:tcPr>
            <w:tcW w:w="2268" w:type="dxa"/>
            <w:vAlign w:val="center"/>
          </w:tcPr>
          <w:p>
            <w:pPr>
              <w:adjustRightInd w:val="0"/>
              <w:snapToGrid w:val="0"/>
              <w:spacing w:line="500" w:lineRule="exact"/>
              <w:rPr>
                <w:rFonts w:hint="eastAsia"/>
                <w:color w:val="000000"/>
              </w:rPr>
            </w:pPr>
            <w:r>
              <w:rPr>
                <w:rFonts w:hint="eastAsia"/>
                <w:color w:val="000000"/>
              </w:rPr>
              <w:t>三（3）</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江昀宸</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江苏省第十六届“小数报杯•小小数学家”暑假快乐思维营活动中荣获三年级组快乐思维一等奖</w:t>
            </w:r>
          </w:p>
        </w:tc>
        <w:tc>
          <w:tcPr>
            <w:tcW w:w="2268" w:type="dxa"/>
            <w:vAlign w:val="center"/>
          </w:tcPr>
          <w:p>
            <w:pPr>
              <w:adjustRightInd w:val="0"/>
              <w:snapToGrid w:val="0"/>
              <w:spacing w:line="500" w:lineRule="exact"/>
              <w:rPr>
                <w:rFonts w:hint="eastAsia"/>
                <w:color w:val="000000"/>
              </w:rPr>
            </w:pPr>
            <w:r>
              <w:rPr>
                <w:rFonts w:hint="eastAsia"/>
                <w:color w:val="000000"/>
              </w:rPr>
              <w:t>三（3）</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宫梓琪</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江苏省第十六届“小数报杯•小小数学家”暑假快乐思维营活动中荣获三年级组快乐思维二等奖</w:t>
            </w:r>
          </w:p>
        </w:tc>
        <w:tc>
          <w:tcPr>
            <w:tcW w:w="2268" w:type="dxa"/>
            <w:vAlign w:val="center"/>
          </w:tcPr>
          <w:p>
            <w:pPr>
              <w:adjustRightInd w:val="0"/>
              <w:snapToGrid w:val="0"/>
              <w:spacing w:line="500" w:lineRule="exact"/>
              <w:rPr>
                <w:rFonts w:hint="eastAsia"/>
                <w:color w:val="000000"/>
              </w:rPr>
            </w:pPr>
            <w:r>
              <w:rPr>
                <w:rFonts w:hint="eastAsia"/>
                <w:color w:val="000000"/>
              </w:rPr>
              <w:t>三（3）</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王腾锐</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江苏省第十六届“小数报杯•小小数学家”暑假快乐思维营活动中荣获四年级组努力坚持奖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四（1）</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黄芯怡</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江苏省第十六届“小数报杯•小小数学家”暑假快乐思维营活动中荣获四年级组努力坚持奖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四（1）</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恽子恒</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江苏省第十六届“小数报杯•小小数学家”暑假快乐思维营活动中荣获四年级组努力坚持奖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四（1）</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丁铭轩</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江苏省第十六届“小数报杯•小小数学家”暑假快乐思维营活动中荣获四年级组努力坚持奖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四（1）</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巢红日</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江苏省第十六届“小数报杯•小小数学家”暑假快乐思维营活动中荣获四年级组努力坚持奖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四（1）</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江哲宇</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江苏省第十六届“小数报杯•小小数学家”暑假快乐思维营活动中荣获四年级组努力坚持奖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四（1）</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曹浩宁</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江苏省第十六届“小数报杯•小小数学家”暑假快乐思维营活动中荣获四年级组努力坚持奖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四（1）</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巢秋月</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江苏省第十六届“小数报杯•小小数学家”暑假快乐思维营活动中荣获四年级组努力坚持奖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四（1）</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何俊喆</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江苏省第十六届“小数报杯•小小数学家”暑假快乐思维营活动中荣获四年级组努力坚持奖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四（1）</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谢艺萌</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江苏省第十六届“小数报杯•小小数学家”暑假快乐思维营活动中荣获四年级组努力坚持奖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四（1）</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何羽</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江苏省第十六届“小数报杯•小小数学家”暑假快乐思维营活动中荣获四年级组努力坚持奖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四（1）</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张果</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江苏省第十六届“小数报杯•小小数学家”暑假快乐思维营活动中荣获四年级组努力坚持奖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四（1）</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vAlign w:val="center"/>
          </w:tcPr>
          <w:p>
            <w:pPr>
              <w:adjustRightInd w:val="0"/>
              <w:snapToGrid w:val="0"/>
              <w:spacing w:line="500" w:lineRule="exact"/>
              <w:rPr>
                <w:rFonts w:hint="eastAsia"/>
                <w:color w:val="000000"/>
              </w:rPr>
            </w:pPr>
            <w:r>
              <w:rPr>
                <w:rFonts w:hint="eastAsia"/>
                <w:color w:val="000000"/>
              </w:rPr>
              <w:t>巢星元</w:t>
            </w:r>
          </w:p>
        </w:tc>
        <w:tc>
          <w:tcPr>
            <w:tcW w:w="3544" w:type="dxa"/>
            <w:vAlign w:val="center"/>
          </w:tcPr>
          <w:p>
            <w:pPr>
              <w:adjustRightInd w:val="0"/>
              <w:snapToGrid w:val="0"/>
              <w:spacing w:line="500" w:lineRule="exact"/>
              <w:rPr>
                <w:rFonts w:hint="eastAsia"/>
                <w:color w:val="000000"/>
              </w:rPr>
            </w:pPr>
            <w:r>
              <w:rPr>
                <w:rFonts w:hint="eastAsia"/>
                <w:color w:val="000000"/>
              </w:rPr>
              <w:t>江苏省第十六届“小数报杯•小小数学家”暑假快乐思维营活动中荣获四年级组努力坚持奖</w:t>
            </w:r>
          </w:p>
        </w:tc>
        <w:tc>
          <w:tcPr>
            <w:tcW w:w="2268" w:type="dxa"/>
            <w:vAlign w:val="center"/>
          </w:tcPr>
          <w:p>
            <w:pPr>
              <w:adjustRightInd w:val="0"/>
              <w:snapToGrid w:val="0"/>
              <w:spacing w:line="500" w:lineRule="exact"/>
              <w:rPr>
                <w:rFonts w:hint="eastAsia"/>
                <w:color w:val="000000"/>
              </w:rPr>
            </w:pPr>
            <w:r>
              <w:rPr>
                <w:rFonts w:hint="eastAsia"/>
                <w:color w:val="000000"/>
              </w:rPr>
              <w:t>四（1）</w:t>
            </w:r>
          </w:p>
        </w:tc>
        <w:tc>
          <w:tcPr>
            <w:tcW w:w="1751" w:type="dxa"/>
            <w:vAlign w:val="center"/>
          </w:tcPr>
          <w:p>
            <w:pPr>
              <w:adjustRightInd w:val="0"/>
              <w:snapToGrid w:val="0"/>
              <w:spacing w:line="500" w:lineRule="exact"/>
              <w:rPr>
                <w:rFonts w:hint="eastAsia"/>
                <w:color w:val="000000"/>
              </w:rPr>
            </w:pPr>
            <w:r>
              <w:rPr>
                <w:rFonts w:hint="eastAsia"/>
                <w:color w:val="000000"/>
              </w:rPr>
              <w:t>恽蝶</w:t>
            </w:r>
          </w:p>
        </w:tc>
      </w:tr>
    </w:tbl>
    <w:p>
      <w:pPr>
        <w:adjustRightInd w:val="0"/>
        <w:snapToGrid w:val="0"/>
        <w:spacing w:line="500" w:lineRule="exact"/>
        <w:rPr>
          <w:rFonts w:hint="eastAsia" w:asciiTheme="minorEastAsia" w:hAnsiTheme="minorEastAsia" w:cs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jODBiMTM2YjkzYTkxMmJlNDlhYWQyYTQyZTk2NzcifQ=="/>
  </w:docVars>
  <w:rsids>
    <w:rsidRoot w:val="77D85D16"/>
    <w:rsid w:val="00046ED1"/>
    <w:rsid w:val="00282438"/>
    <w:rsid w:val="002D1888"/>
    <w:rsid w:val="00336EDE"/>
    <w:rsid w:val="00CD4FD3"/>
    <w:rsid w:val="20CC266C"/>
    <w:rsid w:val="234133A3"/>
    <w:rsid w:val="32E756E8"/>
    <w:rsid w:val="34987FD8"/>
    <w:rsid w:val="4C1564FE"/>
    <w:rsid w:val="77D85D16"/>
    <w:rsid w:val="EEFFDF95"/>
    <w:rsid w:val="FBF7F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865</Words>
  <Characters>4933</Characters>
  <Lines>41</Lines>
  <Paragraphs>11</Paragraphs>
  <TotalTime>5</TotalTime>
  <ScaleCrop>false</ScaleCrop>
  <LinksUpToDate>false</LinksUpToDate>
  <CharactersWithSpaces>5787</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2024-01-28T21:31:00Z</dcterms:created>
  <dc:creator>hp</dc:creator>
  <cp:lastModifiedBy>景佳梅</cp:lastModifiedBy>
  <dcterms:modified xsi:type="dcterms:W3CDTF">2024-01-31T18:49:40Z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B481F781F78842AC949366E54CFC8867_13</vt:lpwstr>
  </property>
</Properties>
</file>