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32"/>
          <w:szCs w:val="32"/>
        </w:rPr>
      </w:pPr>
      <w:r>
        <w:rPr>
          <w:rFonts w:hint="eastAsia" w:ascii="黑体" w:eastAsia="黑体"/>
          <w:sz w:val="32"/>
          <w:szCs w:val="32"/>
        </w:rPr>
        <w:t>雕庄中心幼儿园·采菱园</w:t>
      </w:r>
    </w:p>
    <w:p>
      <w:pPr>
        <w:jc w:val="center"/>
        <w:rPr>
          <w:rFonts w:hint="eastAsia" w:ascii="黑体" w:eastAsia="黑体"/>
          <w:sz w:val="32"/>
          <w:szCs w:val="32"/>
        </w:rPr>
      </w:pPr>
      <w:r>
        <w:rPr>
          <w:rFonts w:hint="eastAsia" w:ascii="黑体" w:eastAsia="黑体"/>
          <w:sz w:val="32"/>
          <w:szCs w:val="32"/>
        </w:rPr>
        <w:t>“幼儿观察记录与分析”记录表</w:t>
      </w:r>
    </w:p>
    <w:p>
      <w:pPr>
        <w:rPr>
          <w:rFonts w:hint="eastAsia" w:ascii="宋体" w:hAnsi="宋体"/>
          <w:sz w:val="24"/>
        </w:rPr>
      </w:pPr>
    </w:p>
    <w:p>
      <w:pPr>
        <w:rPr>
          <w:rFonts w:hint="eastAsia" w:ascii="宋体" w:hAnsi="宋体"/>
          <w:sz w:val="24"/>
        </w:rPr>
      </w:pPr>
      <w:r>
        <w:rPr>
          <w:rFonts w:hint="eastAsia" w:ascii="宋体" w:hAnsi="宋体"/>
          <w:sz w:val="24"/>
        </w:rPr>
        <w:t>班级：</w:t>
      </w:r>
      <w:r>
        <w:rPr>
          <w:rFonts w:hint="eastAsia" w:ascii="宋体" w:hAnsi="宋体"/>
          <w:sz w:val="24"/>
          <w:lang w:val="en-US" w:eastAsia="zh-CN"/>
        </w:rPr>
        <w:t>大</w:t>
      </w:r>
      <w:r>
        <w:rPr>
          <w:rFonts w:hint="eastAsia" w:ascii="宋体" w:hAnsi="宋体"/>
          <w:sz w:val="24"/>
        </w:rPr>
        <w:t>二班</w:t>
      </w:r>
    </w:p>
    <w:tbl>
      <w:tblPr>
        <w:tblStyle w:val="3"/>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7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808" w:type="dxa"/>
            <w:noWrap w:val="0"/>
            <w:vAlign w:val="center"/>
          </w:tcPr>
          <w:p>
            <w:pPr>
              <w:jc w:val="center"/>
              <w:rPr>
                <w:rFonts w:hint="eastAsia" w:ascii="宋体" w:hAnsi="宋体" w:cs="宋体"/>
                <w:b/>
                <w:bCs/>
                <w:sz w:val="24"/>
              </w:rPr>
            </w:pPr>
            <w:r>
              <w:rPr>
                <w:rFonts w:hint="eastAsia" w:ascii="宋体" w:hAnsi="宋体" w:cs="宋体"/>
                <w:b/>
                <w:bCs/>
                <w:sz w:val="24"/>
              </w:rPr>
              <w:t>观察时间</w:t>
            </w:r>
          </w:p>
        </w:tc>
        <w:tc>
          <w:tcPr>
            <w:tcW w:w="7232" w:type="dxa"/>
            <w:noWrap w:val="0"/>
            <w:vAlign w:val="top"/>
          </w:tcPr>
          <w:p>
            <w:pPr>
              <w:rPr>
                <w:rFonts w:hint="eastAsia"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.1.</w:t>
            </w:r>
            <w:r>
              <w:rPr>
                <w:rFonts w:hint="eastAsia" w:ascii="宋体" w:hAnsi="宋体" w:cs="宋体"/>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808" w:type="dxa"/>
            <w:noWrap w:val="0"/>
            <w:vAlign w:val="center"/>
          </w:tcPr>
          <w:p>
            <w:pPr>
              <w:jc w:val="center"/>
              <w:rPr>
                <w:rFonts w:hint="eastAsia" w:ascii="宋体" w:hAnsi="宋体" w:cs="宋体"/>
                <w:b/>
                <w:bCs/>
                <w:sz w:val="24"/>
              </w:rPr>
            </w:pPr>
            <w:r>
              <w:rPr>
                <w:rFonts w:hint="eastAsia" w:ascii="宋体" w:hAnsi="宋体" w:cs="宋体"/>
                <w:b/>
                <w:bCs/>
                <w:sz w:val="24"/>
              </w:rPr>
              <w:t>观察地点</w:t>
            </w:r>
          </w:p>
        </w:tc>
        <w:tc>
          <w:tcPr>
            <w:tcW w:w="7232" w:type="dxa"/>
            <w:noWrap w:val="0"/>
            <w:vAlign w:val="top"/>
          </w:tcPr>
          <w:p>
            <w:pPr>
              <w:rPr>
                <w:rFonts w:hint="eastAsia" w:ascii="宋体" w:hAnsi="宋体" w:cs="宋体"/>
                <w:sz w:val="24"/>
              </w:rPr>
            </w:pPr>
            <w:r>
              <w:rPr>
                <w:rFonts w:hint="eastAsia" w:ascii="宋体" w:hAnsi="宋体" w:cs="宋体"/>
                <w:sz w:val="24"/>
              </w:rPr>
              <w:t>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808" w:type="dxa"/>
            <w:noWrap w:val="0"/>
            <w:vAlign w:val="center"/>
          </w:tcPr>
          <w:p>
            <w:pPr>
              <w:jc w:val="center"/>
              <w:rPr>
                <w:rFonts w:hint="eastAsia" w:ascii="宋体" w:hAnsi="宋体" w:cs="宋体"/>
                <w:b/>
                <w:bCs/>
                <w:sz w:val="24"/>
              </w:rPr>
            </w:pPr>
            <w:r>
              <w:rPr>
                <w:rFonts w:hint="eastAsia" w:ascii="宋体" w:hAnsi="宋体" w:cs="宋体"/>
                <w:b/>
                <w:bCs/>
                <w:sz w:val="24"/>
              </w:rPr>
              <w:t>观察对象</w:t>
            </w:r>
          </w:p>
        </w:tc>
        <w:tc>
          <w:tcPr>
            <w:tcW w:w="7232" w:type="dxa"/>
            <w:noWrap w:val="0"/>
            <w:vAlign w:val="top"/>
          </w:tcPr>
          <w:p>
            <w:pPr>
              <w:rPr>
                <w:rFonts w:hint="default" w:ascii="宋体" w:hAnsi="宋体" w:eastAsia="宋体" w:cs="宋体"/>
                <w:sz w:val="24"/>
                <w:lang w:val="en-US" w:eastAsia="zh-CN"/>
              </w:rPr>
            </w:pPr>
            <w:r>
              <w:rPr>
                <w:rFonts w:hint="eastAsia" w:ascii="宋体" w:hAnsi="宋体" w:cs="宋体"/>
                <w:sz w:val="24"/>
                <w:lang w:val="en-US" w:eastAsia="zh-CN"/>
              </w:rPr>
              <w:t>表演《猴子捞月亮》的一组幼儿的儿童表征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808" w:type="dxa"/>
            <w:noWrap w:val="0"/>
            <w:vAlign w:val="center"/>
          </w:tcPr>
          <w:p>
            <w:pPr>
              <w:spacing w:line="360" w:lineRule="auto"/>
              <w:ind w:firstLine="480" w:firstLineChars="200"/>
              <w:jc w:val="left"/>
              <w:rPr>
                <w:rFonts w:hint="eastAsia" w:ascii="Arial" w:hAnsi="Arial" w:cs="Arial"/>
                <w:color w:val="222222"/>
                <w:kern w:val="0"/>
                <w:sz w:val="24"/>
                <w:szCs w:val="22"/>
                <w:shd w:val="clear" w:color="auto" w:fill="FFFFFF"/>
              </w:rPr>
            </w:pPr>
            <w:r>
              <w:rPr>
                <w:rFonts w:hint="eastAsia" w:ascii="Arial" w:hAnsi="Arial" w:cs="Arial"/>
                <w:color w:val="222222"/>
                <w:kern w:val="0"/>
                <w:sz w:val="24"/>
                <w:szCs w:val="22"/>
                <w:shd w:val="clear" w:color="auto" w:fill="FFFFFF"/>
              </w:rPr>
              <w:t>观察目的</w:t>
            </w:r>
          </w:p>
        </w:tc>
        <w:tc>
          <w:tcPr>
            <w:tcW w:w="7232" w:type="dxa"/>
            <w:noWrap w:val="0"/>
            <w:vAlign w:val="center"/>
          </w:tcPr>
          <w:p>
            <w:pPr>
              <w:spacing w:line="360" w:lineRule="auto"/>
              <w:jc w:val="left"/>
              <w:rPr>
                <w:rFonts w:hint="default" w:ascii="Arial" w:hAnsi="Arial" w:eastAsia="宋体" w:cs="Arial"/>
                <w:color w:val="222222"/>
                <w:kern w:val="0"/>
                <w:sz w:val="24"/>
                <w:szCs w:val="22"/>
                <w:shd w:val="clear" w:color="auto" w:fill="FFFFFF"/>
                <w:lang w:val="en-US" w:eastAsia="zh-CN"/>
              </w:rPr>
            </w:pPr>
            <w:r>
              <w:rPr>
                <w:rFonts w:hint="eastAsia" w:ascii="Arial" w:hAnsi="Arial" w:cs="Arial"/>
                <w:color w:val="222222"/>
                <w:kern w:val="0"/>
                <w:sz w:val="24"/>
                <w:szCs w:val="22"/>
                <w:shd w:val="clear" w:color="auto" w:fill="FFFFFF"/>
              </w:rPr>
              <w:t>观察</w:t>
            </w:r>
            <w:r>
              <w:rPr>
                <w:rFonts w:hint="eastAsia" w:ascii="Arial" w:hAnsi="Arial" w:cs="Arial"/>
                <w:color w:val="222222"/>
                <w:kern w:val="0"/>
                <w:sz w:val="24"/>
                <w:szCs w:val="22"/>
                <w:shd w:val="clear" w:color="auto" w:fill="FFFFFF"/>
                <w:lang w:val="en-US" w:eastAsia="zh-CN"/>
              </w:rPr>
              <w:t>一组幼儿的儿童表征，了解他们在游戏过程中的想法与需求。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4" w:hRule="atLeast"/>
        </w:trPr>
        <w:tc>
          <w:tcPr>
            <w:tcW w:w="1808" w:type="dxa"/>
            <w:noWrap w:val="0"/>
            <w:vAlign w:val="center"/>
          </w:tcPr>
          <w:p>
            <w:pPr>
              <w:jc w:val="center"/>
              <w:rPr>
                <w:rFonts w:hint="eastAsia" w:ascii="宋体" w:hAnsi="宋体" w:cs="宋体"/>
                <w:b/>
                <w:bCs/>
                <w:sz w:val="24"/>
              </w:rPr>
            </w:pPr>
            <w:r>
              <w:rPr>
                <w:rFonts w:hint="eastAsia" w:ascii="宋体" w:hAnsi="宋体" w:cs="宋体"/>
                <w:b/>
                <w:bCs/>
                <w:sz w:val="24"/>
              </w:rPr>
              <w:t>观察实录</w:t>
            </w:r>
          </w:p>
        </w:tc>
        <w:tc>
          <w:tcPr>
            <w:tcW w:w="7232" w:type="dxa"/>
            <w:noWrap w:val="0"/>
            <w:vAlign w:val="center"/>
          </w:tcPr>
          <w:p>
            <w:pPr>
              <w:spacing w:line="360" w:lineRule="auto"/>
              <w:jc w:val="left"/>
            </w:pPr>
            <w:r>
              <w:drawing>
                <wp:inline distT="0" distB="0" distL="114300" distR="114300">
                  <wp:extent cx="1026795" cy="1475740"/>
                  <wp:effectExtent l="0" t="0" r="190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026795"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96315" cy="1475740"/>
                  <wp:effectExtent l="0" t="0" r="698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996315"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04900" cy="147574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104900"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44575" cy="1475740"/>
                  <wp:effectExtent l="0" t="0" r="9525"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1044575"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45845" cy="1475740"/>
                  <wp:effectExtent l="0" t="0" r="8255" b="1016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1045845"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20445" cy="1475740"/>
                  <wp:effectExtent l="0" t="0" r="825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020445"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94740" cy="1475740"/>
                  <wp:effectExtent l="0" t="0" r="10160" b="1016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
                          <a:stretch>
                            <a:fillRect/>
                          </a:stretch>
                        </pic:blipFill>
                        <pic:spPr>
                          <a:xfrm>
                            <a:off x="0" y="0"/>
                            <a:ext cx="1094740" cy="1475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40765" cy="1475740"/>
                  <wp:effectExtent l="0" t="0" r="635" b="1016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1"/>
                          <a:stretch>
                            <a:fillRect/>
                          </a:stretch>
                        </pic:blipFill>
                        <pic:spPr>
                          <a:xfrm>
                            <a:off x="0" y="0"/>
                            <a:ext cx="1040765" cy="1475740"/>
                          </a:xfrm>
                          <a:prstGeom prst="rect">
                            <a:avLst/>
                          </a:prstGeom>
                          <a:noFill/>
                          <a:ln>
                            <a:noFill/>
                          </a:ln>
                        </pic:spPr>
                      </pic:pic>
                    </a:graphicData>
                  </a:graphic>
                </wp:inline>
              </w:drawing>
            </w:r>
          </w:p>
          <w:p>
            <w:pPr>
              <w:spacing w:line="360" w:lineRule="auto"/>
              <w:jc w:val="center"/>
              <w:rPr>
                <w:rFonts w:hint="default" w:ascii="宋体" w:hAnsi="宋体" w:cs="宋体"/>
                <w:sz w:val="24"/>
                <w:lang w:val="en-US" w:eastAsia="zh-CN"/>
              </w:rPr>
            </w:pPr>
            <w:r>
              <w:rPr>
                <w:rFonts w:hint="eastAsia" w:ascii="楷体" w:hAnsi="楷体" w:eastAsia="楷体" w:cs="楷体"/>
                <w:lang w:val="en-US" w:eastAsia="zh-CN"/>
              </w:rPr>
              <w:t>图示一——八：表演游戏《猴子捞月亮》的儿童表征</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游戏过后，幼儿都在用儿童表征记录自己的游戏过程与想法，他们三三两两的一组在画着，其中一组幼儿在画他们最感兴趣的水井的场景布置，一组幼儿在画游戏的表演过程。</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进入游戏分享环节，他们非常兴趣地说着自己的发现与想法：</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小居说：“我们小组用了泡沫砖搭了水井，我们发现这种砖就和别人挖的井特别地像，一块一块地垒起来的感觉太好啦！”</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翰翰说：“我们小组直接用了轮胎堆出来一个水井，我们一会就搭好了，我们的游戏时间比你们长，你们搭水井花了好长时间哟。”</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小煜说：“我们用的是建构的大积木搭的水井，我们的可以一个一个插出来的，我们的比较牢固，泡沫砖不能碰，会倒的。”</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画游戏过程的孩子的对话更有意思了：</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小妤说：“我们几个女生选择了轮胎山表演《猴子捞月亮》的游戏，挂是挂得住的，玩得也开心的，就是我们的衣服都脏了。”</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琳琳说：“我们化妆的时候，几个男生不会画，我和芯芯还帮他们画猴子脸上的的爱心图案呢，他们都画歪了，看起来好笑的。”</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洋洋说：“我们小组选择在滑滑梯的地方表演《猴子捞月亮》的故事，我们觉得这个位置比较合适，滑滑梯有直的，还有一圈圈绕着的，可以同时倒挂几个小组的小猴子的，你们也可以来我们这边玩呢。”</w:t>
            </w:r>
          </w:p>
          <w:p>
            <w:pPr>
              <w:spacing w:line="360" w:lineRule="auto"/>
              <w:ind w:firstLine="480" w:firstLineChars="200"/>
              <w:jc w:val="left"/>
              <w:rPr>
                <w:rFonts w:hint="default" w:ascii="宋体" w:hAnsi="宋体" w:cs="宋体"/>
                <w:sz w:val="24"/>
                <w:lang w:val="en-US" w:eastAsia="zh-CN"/>
              </w:rPr>
            </w:pPr>
            <w:r>
              <w:rPr>
                <w:rFonts w:hint="eastAsia" w:ascii="宋体" w:hAnsi="宋体" w:cs="宋体"/>
                <w:sz w:val="24"/>
                <w:lang w:val="en-US" w:eastAsia="zh-CN"/>
              </w:rPr>
              <w:t>远远说：“我扮演的老猴子，我是趴在最上面的位置上的，一直拉着睿睿的脚，我也看不到前面的小猴子们在做什么，你们对话的时声音大些，好不好，我也不知道你们表演到哪了呀。”苗苗接着说：“小猴子说话时，可以扭一下头，对上面的猴子说话，不要自己说，后面的人是听不到的你说什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5" w:hRule="atLeast"/>
        </w:trPr>
        <w:tc>
          <w:tcPr>
            <w:tcW w:w="1808" w:type="dxa"/>
            <w:noWrap w:val="0"/>
            <w:vAlign w:val="center"/>
          </w:tcPr>
          <w:p>
            <w:pPr>
              <w:jc w:val="center"/>
              <w:rPr>
                <w:rFonts w:hint="eastAsia" w:ascii="宋体" w:hAnsi="宋体" w:cs="宋体"/>
                <w:b/>
                <w:bCs/>
                <w:sz w:val="24"/>
              </w:rPr>
            </w:pPr>
            <w:r>
              <w:rPr>
                <w:rFonts w:hint="eastAsia" w:ascii="宋体" w:hAnsi="宋体" w:cs="宋体"/>
                <w:b/>
                <w:bCs/>
                <w:sz w:val="24"/>
              </w:rPr>
              <w:t>分析跟进</w:t>
            </w:r>
          </w:p>
        </w:tc>
        <w:tc>
          <w:tcPr>
            <w:tcW w:w="7232" w:type="dxa"/>
            <w:noWrap w:val="0"/>
            <w:vAlign w:val="center"/>
          </w:tcPr>
          <w:p>
            <w:pPr>
              <w:pStyle w:val="2"/>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460" w:lineRule="exact"/>
              <w:jc w:val="both"/>
              <w:textAlignment w:val="auto"/>
              <w:rPr>
                <w:rFonts w:hint="eastAsia" w:ascii="宋体" w:hAnsi="宋体" w:eastAsia="微软雅黑"/>
                <w:sz w:val="24"/>
              </w:rPr>
            </w:pPr>
            <w:r>
              <w:rPr>
                <w:rFonts w:hint="eastAsia" w:cs="宋体"/>
                <w:sz w:val="24"/>
                <w:lang w:val="en-US" w:eastAsia="zh-CN"/>
              </w:rPr>
              <w:t>幼儿对游戏的过程更有兴趣。</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Chars="0"/>
              <w:jc w:val="both"/>
              <w:textAlignment w:val="auto"/>
              <w:rPr>
                <w:rFonts w:hint="default" w:ascii="宋体" w:hAnsi="宋体" w:eastAsia="微软雅黑"/>
                <w:sz w:val="24"/>
                <w:lang w:val="en-US"/>
              </w:rPr>
            </w:pPr>
            <w:r>
              <w:rPr>
                <w:rFonts w:hint="eastAsia" w:cs="宋体"/>
                <w:sz w:val="24"/>
                <w:lang w:val="en-US" w:eastAsia="zh-CN"/>
              </w:rPr>
              <w:t xml:space="preserve">    通过倾听他们的儿童表征，我们发现幼儿记录的都是自己游戏中最感兴趣的一个环节或是某一段，他们的分享并不是按照你老师以为的内容而展开的，一个孩子的表征内容，也会影响到同组其他幼儿，常会发现，一张桌子上的小朋友画的内容都是比较接近的，更多的时候是趋同性。在分享时，老师可以有意识地加强某个幼儿的分享内容，突显他们的特色与亮点，对其他幼儿起到引领作用，为下一次的游戏分享激发他们的创新性。</w:t>
            </w:r>
          </w:p>
          <w:p>
            <w:pPr>
              <w:pStyle w:val="2"/>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460" w:lineRule="exact"/>
              <w:jc w:val="both"/>
              <w:textAlignment w:val="auto"/>
              <w:rPr>
                <w:rFonts w:hint="eastAsia" w:ascii="宋体" w:hAnsi="宋体" w:eastAsia="微软雅黑"/>
                <w:sz w:val="24"/>
              </w:rPr>
            </w:pPr>
            <w:r>
              <w:rPr>
                <w:rFonts w:hint="eastAsia"/>
                <w:sz w:val="24"/>
                <w:szCs w:val="24"/>
                <w:lang w:val="en-US" w:eastAsia="zh-CN"/>
              </w:rPr>
              <w:t>幼儿是游戏的小主人，他们每一个人都是表演游戏中的主角。</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Chars="0"/>
              <w:jc w:val="both"/>
              <w:textAlignment w:val="auto"/>
              <w:rPr>
                <w:rFonts w:hint="default" w:ascii="宋体" w:hAnsi="宋体" w:eastAsia="微软雅黑"/>
                <w:sz w:val="24"/>
                <w:lang w:val="en-US"/>
              </w:rPr>
            </w:pPr>
            <w:r>
              <w:rPr>
                <w:rFonts w:hint="eastAsia"/>
                <w:sz w:val="24"/>
                <w:szCs w:val="24"/>
                <w:lang w:val="en-US" w:eastAsia="zh-CN"/>
              </w:rPr>
              <w:t xml:space="preserve">    幼儿的童言稚语，虽然简单，但是也充满他们的儿童智慧，当有孩子提出无法听到前面的小猴子在说什么，马上就会有幼儿想到扭头说话的方法，当有人说到表演场地会弄脏自己的衣服，就会有人建议到滑滑梯那儿一起玩，因为有好几个不同的滑梯的，他们在游戏中会主动自己解决困难，这就是游戏环境下，幼儿的成长过程，不断积累经验，不断地自我学习与成长。</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4CC7C7"/>
    <w:multiLevelType w:val="singleLevel"/>
    <w:tmpl w:val="104CC7C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0YjJlM2NiNDI1MWIyNjQ4OGZiNDRjZDBiMTY2OWYifQ=="/>
  </w:docVars>
  <w:rsids>
    <w:rsidRoot w:val="64C8756D"/>
    <w:rsid w:val="64C87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2024-01-12T05:23:00Z</dcterms:created>
  <dc:creator>心语</dc:creator>
  <cp:lastModifiedBy>心语</cp:lastModifiedBy>
  <dcterms:modified xsi:type="dcterms:W3CDTF">2024-01-12T05:24:35Z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1665584EEC364405B3F57223A4C09F24_11</vt:lpwstr>
  </property>
</Properties>
</file>