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FF0000"/>
          <w:sz w:val="21"/>
          <w:szCs w:val="21"/>
          <w:lang w:val="en-US"/>
        </w:rPr>
      </w:pPr>
      <w:r>
        <w:rPr>
          <w:rFonts w:hint="eastAsia"/>
          <w:b/>
          <w:bCs/>
          <w:sz w:val="30"/>
          <w:szCs w:val="30"/>
          <w:lang w:val="en-US" w:eastAsia="zh-CN"/>
        </w:rPr>
        <w:t>新北区小学数学教学倪敏优秀教师培育室活动记录表</w:t>
      </w:r>
    </w:p>
    <w:tbl>
      <w:tblPr>
        <w:tblStyle w:val="3"/>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526"/>
        <w:gridCol w:w="1914"/>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pPr>
              <w:jc w:val="center"/>
              <w:rPr>
                <w:rFonts w:hint="default" w:eastAsia="宋体"/>
                <w:b w:val="0"/>
                <w:bCs w:val="0"/>
                <w:sz w:val="21"/>
                <w:szCs w:val="21"/>
                <w:lang w:val="en-US" w:eastAsia="zh-CN"/>
              </w:rPr>
            </w:pPr>
            <w:r>
              <w:rPr>
                <w:rFonts w:hint="eastAsia" w:ascii="宋体" w:hAnsi="宋体"/>
                <w:b w:val="0"/>
                <w:bCs/>
                <w:sz w:val="24"/>
                <w:lang w:val="en-US" w:eastAsia="zh-CN"/>
              </w:rPr>
              <w:t>践行课标新理念  实践复习再生长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巢一开</w:t>
            </w:r>
          </w:p>
        </w:tc>
        <w:tc>
          <w:tcPr>
            <w:tcW w:w="1914" w:type="dxa"/>
            <w:noWrap w:val="0"/>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倪敏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pPr>
              <w:jc w:val="center"/>
              <w:rPr>
                <w:rFonts w:hint="default" w:eastAsia="宋体"/>
                <w:b w:val="0"/>
                <w:bCs w:val="0"/>
                <w:sz w:val="21"/>
                <w:szCs w:val="21"/>
                <w:lang w:val="en-US" w:eastAsia="zh-CN"/>
              </w:rPr>
            </w:pPr>
            <w:r>
              <w:rPr>
                <w:rFonts w:hint="eastAsia" w:ascii="宋体" w:hAnsi="宋体" w:eastAsia="宋体" w:cs="宋体"/>
                <w:sz w:val="21"/>
                <w:szCs w:val="21"/>
                <w:lang w:val="en-US" w:eastAsia="zh-CN"/>
              </w:rPr>
              <w:t>2024年1月16日</w:t>
            </w:r>
          </w:p>
        </w:tc>
        <w:tc>
          <w:tcPr>
            <w:tcW w:w="1914" w:type="dxa"/>
            <w:noWrap w:val="0"/>
            <w:vAlign w:val="center"/>
          </w:tcPr>
          <w:p>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pPr>
              <w:jc w:val="center"/>
              <w:rPr>
                <w:rFonts w:hint="default" w:eastAsia="宋体"/>
                <w:b w:val="0"/>
                <w:bCs w:val="0"/>
                <w:sz w:val="21"/>
                <w:szCs w:val="21"/>
                <w:lang w:val="en-US" w:eastAsia="zh-CN"/>
              </w:rPr>
            </w:pPr>
            <w:r>
              <w:rPr>
                <w:rFonts w:hint="eastAsia" w:ascii="宋体" w:hAnsi="宋体" w:eastAsia="宋体" w:cs="宋体"/>
                <w:sz w:val="21"/>
                <w:szCs w:val="21"/>
                <w:lang w:val="en-US" w:eastAsia="zh-CN"/>
              </w:rPr>
              <w:t>泰山小学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pPr>
              <w:pStyle w:val="2"/>
              <w:keepNext w:val="0"/>
              <w:keepLines w:val="0"/>
              <w:widowControl/>
              <w:suppressLineNumbers w:val="0"/>
              <w:spacing w:before="0" w:beforeAutospacing="0" w:after="0" w:afterAutospacing="0" w:line="240" w:lineRule="auto"/>
              <w:ind w:left="0" w:right="0"/>
              <w:jc w:val="both"/>
              <w:rPr>
                <w:rFonts w:hint="default" w:eastAsia="宋体"/>
                <w:b w:val="0"/>
                <w:bCs w:val="0"/>
                <w:sz w:val="21"/>
                <w:szCs w:val="21"/>
                <w:lang w:val="en-US" w:eastAsia="zh-CN"/>
              </w:rPr>
            </w:pPr>
            <w:r>
              <w:rPr>
                <w:rFonts w:hint="eastAsia" w:ascii="Times New Roman" w:hAnsi="Times New Roman" w:eastAsia="宋体" w:cs="Times New Roman"/>
                <w:b w:val="0"/>
                <w:bCs w:val="0"/>
                <w:sz w:val="21"/>
                <w:szCs w:val="21"/>
                <w:lang w:val="en-US" w:eastAsia="zh-CN"/>
              </w:rPr>
              <w:t>倪敏  巢一开 施佳丽 周鑫淼 韩舒阳  陈烨 刘红 刘孝玲 丁媛媛  张璐妍 潘青 戴莉 李羚 乔茜 骆晓倩 张云杰 谭梦婕 徐馨尔 潘婷婷 周敏 易赛龙 恽蝶</w:t>
            </w:r>
            <w:r>
              <w:rPr>
                <w:rFonts w:hint="eastAsia" w:cs="Times New Roman"/>
                <w:b w:val="0"/>
                <w:bCs w:val="0"/>
                <w:sz w:val="21"/>
                <w:szCs w:val="21"/>
                <w:lang w:val="en-US" w:eastAsia="zh-CN"/>
              </w:rPr>
              <w:t xml:space="preserve"> 施莉华</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1734" w:type="dxa"/>
            <w:noWrap w:val="0"/>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val="0"/>
                <w:bCs w:val="0"/>
                <w:lang w:val="en-US" w:eastAsia="zh-CN"/>
              </w:rPr>
            </w:pPr>
            <w:r>
              <w:rPr>
                <w:rFonts w:hint="eastAsia"/>
                <w:b w:val="0"/>
                <w:bCs w:val="0"/>
                <w:lang w:val="en-US" w:eastAsia="zh-CN"/>
              </w:rPr>
              <w:t>活</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动</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过</w:t>
            </w:r>
          </w:p>
          <w:p>
            <w:pPr>
              <w:jc w:val="center"/>
              <w:rPr>
                <w:rFonts w:hint="eastAsia"/>
                <w:b w:val="0"/>
                <w:bCs w:val="0"/>
                <w:lang w:val="en-US" w:eastAsia="zh-CN"/>
              </w:rPr>
            </w:pPr>
          </w:p>
          <w:p>
            <w:pPr>
              <w:jc w:val="center"/>
              <w:rPr>
                <w:rFonts w:hint="eastAsia"/>
                <w:b w:val="0"/>
                <w:bCs w:val="0"/>
                <w:lang w:val="en-US" w:eastAsia="zh-CN"/>
              </w:rPr>
            </w:pPr>
          </w:p>
          <w:p>
            <w:pPr>
              <w:jc w:val="center"/>
              <w:rPr>
                <w:rFonts w:hint="default"/>
                <w:lang w:val="en-US" w:eastAsia="zh-CN"/>
              </w:rPr>
            </w:pPr>
            <w:r>
              <w:rPr>
                <w:rFonts w:hint="eastAsia"/>
                <w:b w:val="0"/>
                <w:bCs w:val="0"/>
                <w:lang w:val="en-US" w:eastAsia="zh-CN"/>
              </w:rPr>
              <w:t>程</w:t>
            </w:r>
          </w:p>
        </w:tc>
        <w:tc>
          <w:tcPr>
            <w:tcW w:w="6788" w:type="dxa"/>
            <w:gridSpan w:val="3"/>
            <w:noWrap w:val="0"/>
            <w:vAlign w:val="top"/>
          </w:tcPr>
          <w:p>
            <w:pPr>
              <w:widowControl w:val="0"/>
              <w:numPr>
                <w:ilvl w:val="0"/>
                <w:numId w:val="0"/>
              </w:numPr>
              <w:jc w:val="left"/>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一、公开课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百草园小学的施佳丽老师执教的是一年级的《解决问题的复习》。施老师从复习加法问题入手，引导学生表达数量之间的关系，并用扩线和问号来表示，通过比较、归纳抽象出“分量+分量=总量”的加法模型。通过“说故事”“画故事”“听故事”等丰富的活动设计，激发学生对解决问题的学习兴趣，培养学生分析问题和运用画图的策略解决问题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泰山小学的巢一开老师执教的是四年级的《整数四则混合运算复习》。巢老师设计了“我回忆”“我比较”“我研究”“我计算”“我创造”“我诊断”六个学习活动，凸显</w:t>
            </w:r>
            <w:r>
              <w:rPr>
                <w:rFonts w:hint="eastAsia" w:ascii="宋体" w:hAnsi="宋体" w:cs="宋体"/>
                <w:sz w:val="21"/>
                <w:szCs w:val="21"/>
                <w:lang w:val="en-US" w:eastAsia="zh-CN"/>
              </w:rPr>
              <w:t>学生的主体地位</w:t>
            </w:r>
            <w:r>
              <w:rPr>
                <w:rFonts w:hint="eastAsia" w:ascii="宋体" w:hAnsi="宋体" w:eastAsia="宋体" w:cs="宋体"/>
                <w:sz w:val="21"/>
                <w:szCs w:val="21"/>
                <w:lang w:val="en-US" w:eastAsia="zh-CN"/>
              </w:rPr>
              <w:t>，通过添加运算符号改变计算顺序、估算得数大小、根据算式创造情境等开放性的问题设计，让学生在探究过程中积极思考、自主建构，实现对整数四则混合运算的“再理解”。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p>
          <w:p>
            <w:pPr>
              <w:widowControl w:val="0"/>
              <w:numPr>
                <w:ilvl w:val="0"/>
                <w:numId w:val="1"/>
              </w:numPr>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评课议课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课老师结合自己的实际交流了自己的思考。施老师基于一年级学生对解决实际问题存在困惑的实际学情，在加法情境和扩线图表达的基础上提炼出加法模型。巢老师重点围绕整数四则混合运算的计算顺序和学生计算的正确率来进行教学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育室的小伙伴围坐在一起，畅谈对两节课的感受和收获。乔茜老师提出两节复习课的教学整体设计有新意，切合课标新理念，与常规复习课相比更具有探究性和实践性，如：施老师课上根据“10+5=15、15-5=10”这两道算式画一画数学故事；巢老师课上让学生在算式中添加括号改变运算顺序，根据算式创造实际问题情境等。充分激发学生思考的积极性和创造性，促进数学思维和素养的提升，实现复习的“再生长”。刘红老师表示两节复习课的练习设计层次性和有效性显著，巢老师从“360÷10+5×4”一道题入手，先让学生交流计算顺序，再让其添加符号改变计算顺序，学生在探究过程中不断提高分析问题和解决问题的能力；施老师在练习设计过程中注重题型的创新，不仅有看图列算式，还让学生根据算式讲故事，并尝试把故事画下来，通过灵活题型的设计，让学生感受到思考的快乐，也能提高了解决问题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pPr>
              <w:widowControl w:val="0"/>
              <w:numPr>
                <w:ilvl w:val="0"/>
                <w:numId w:val="0"/>
              </w:numPr>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三、高为引领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倪敏校长作了题为《聚焦素养 有效复习》的专题分享。她指出复习课首先要梳理知识。要打通课内外，做好复习的前沿后续，让学生带着思考进入课堂；梳理的形式可多元化，找到适合自己的表达方式；课堂要有提炼，帮助学生形成知识结构，让每个孩子头脑中都有一棵数学知识树。接着她强调复习课要注重查漏补缺。吃透教材，清晰本节复习课的目标、重点、难点，有层次地设计习题，一题多解、一题多变；吃透学生，找到班级学生日常学习中的困难点，让习题设计更具针对性；吃透评价，融入与新课标相匹配的评价新理念，发挥学生主体作用，让学生积极参与复习、学会复习。最后，她指出复习课也要有练习，选择有针对性、典型性、启发性的问题，设计多样化、系统性和实践性的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为了下个学期更好地开展数学实践和游戏化的课题研究，倪校</w:t>
            </w:r>
            <w:r>
              <w:rPr>
                <w:rFonts w:hint="eastAsia" w:ascii="宋体" w:hAnsi="宋体" w:cs="宋体"/>
                <w:sz w:val="21"/>
                <w:szCs w:val="21"/>
                <w:lang w:val="en-US" w:eastAsia="zh-CN"/>
              </w:rPr>
              <w:t>长</w:t>
            </w:r>
            <w:r>
              <w:rPr>
                <w:rFonts w:hint="eastAsia" w:ascii="宋体" w:hAnsi="宋体" w:eastAsia="宋体" w:cs="宋体"/>
                <w:sz w:val="21"/>
                <w:szCs w:val="21"/>
                <w:lang w:val="en-US" w:eastAsia="zh-CN"/>
              </w:rPr>
              <w:t>对大家提出了新的要求和期望：一是加强课题日常研究，让研究成果在课堂展示和主题评课中得以体现；二是形成阅读分享机制；三是加强日常教学反思，积极撰写教育教学论文；四是及时盘点个人发展规划实施情况，确保朝着目标稳步前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1"/>
                <w:szCs w:val="21"/>
                <w:lang w:val="en-US" w:eastAsia="zh-CN"/>
              </w:rPr>
            </w:pPr>
          </w:p>
        </w:tc>
      </w:tr>
    </w:tbl>
    <w:p>
      <w:pPr>
        <w:rPr>
          <w:rFonts w:hint="eastAsia"/>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222CB"/>
    <w:multiLevelType w:val="singleLevel"/>
    <w:tmpl w:val="EBA222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Njk0MDYyYzVmYzUxYjUwMWU1ODAxOTM5OGEyODQifQ=="/>
  </w:docVars>
  <w:rsids>
    <w:rsidRoot w:val="14BA1BA0"/>
    <w:rsid w:val="06D61345"/>
    <w:rsid w:val="14BA1BA0"/>
    <w:rsid w:val="40BE46AF"/>
    <w:rsid w:val="52FC2DD4"/>
    <w:rsid w:val="7112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2024-01-16T10:50:00Z</dcterms:created>
  <dc:creator>乔乔</dc:creator>
  <cp:lastModifiedBy>我要开花了嗯！</cp:lastModifiedBy>
  <dcterms:modified xsi:type="dcterms:W3CDTF">2024-01-18T06:31:46Z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8F3DBE44E760417FB4452BA187C0EA01_11</vt:lpwstr>
  </property>
</Properties>
</file>