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4"/>
          <w:szCs w:val="52"/>
          <w:lang w:val="en-US" w:eastAsia="zh-CN"/>
        </w:rPr>
      </w:pPr>
      <w:r>
        <w:rPr>
          <w:rFonts w:hint="eastAsia" w:ascii="楷体" w:hAnsi="楷体" w:eastAsia="楷体" w:cs="楷体"/>
          <w:sz w:val="44"/>
          <w:szCs w:val="52"/>
          <w:lang w:val="en-US" w:eastAsia="zh-CN"/>
        </w:rPr>
        <w:t>文化，引领学校全域内涵发展</w:t>
      </w:r>
    </w:p>
    <w:p>
      <w:pPr>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新北区钱丽美卓越人才成长营第一学期活动计划（2023.9）</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学校管理旨在为教师服务、为学生服务、为学校未来可持续发展服务。学校管理要与时俱进，不断探索师生培养方式，从文化引领、管理机制、课程体系、课堂学习、评价样态、教师发展等多方面深耕、发展、赋能，以培养全面发展的人为目标，实现学校、教师、学生可持续发展。常州市新北区钱丽美卓越人才成长营，以培养人、发展人、成就人为己任，让每一位成员成为懂教育、善管理、有情怀的学校管理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叶澜老师说，当代中国教育首先要有一种文化的自觉意识，自觉主动发展是改变是学校文化的最高级表达。学校文化建设是一项重要的、具有全局性和基础性的工作，它决定着学校如何落实党的教育方针、培养什么人、如何培养人、为谁培养人的根本问题，决定着学校的精神品格、办学策略、发展方式和发展高度。对学校发展而言，文化建设既是工作的起点，也是最终的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本学期，常州市新北区钱丽美卓越人才成长营旨在以“文化”为关键词，围绕“学、思、写、说、践”深入开展管理实践的实践，提升成长营每一位成员的文化自觉。</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学期培养目标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建立文化立校的价值认同。通过成员交流，清晰本校及兄弟学校的办学理念、文化追求。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建构文化强校的实践路径。通过学习、参观、论坛等方式，逐步完善文化强校的实践路径。</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82" w:firstLineChars="200"/>
        <w:jc w:val="lef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成长营学期活动安排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jc w:val="left"/>
        <w:textAlignment w:val="auto"/>
        <w:rPr>
          <w:rFonts w:hint="default" w:ascii="楷体" w:hAnsi="楷体" w:eastAsia="楷体" w:cs="楷体"/>
          <w:b/>
          <w:bCs/>
          <w:sz w:val="24"/>
          <w:szCs w:val="32"/>
          <w:lang w:val="en-US" w:eastAsia="zh-CN"/>
        </w:rPr>
      </w:pPr>
      <w:r>
        <w:rPr>
          <w:rFonts w:hint="eastAsia" w:ascii="楷体" w:hAnsi="楷体" w:eastAsia="楷体" w:cs="楷体"/>
          <w:b/>
          <w:bCs/>
          <w:sz w:val="24"/>
          <w:szCs w:val="32"/>
          <w:lang w:val="en-US" w:eastAsia="zh-CN"/>
        </w:rPr>
        <w:t>悦读会，在学习交流中提升思维力。</w:t>
      </w:r>
      <w:r>
        <w:rPr>
          <w:rFonts w:hint="eastAsia" w:ascii="宋体" w:hAnsi="宋体" w:eastAsia="宋体" w:cs="宋体"/>
          <w:sz w:val="24"/>
          <w:szCs w:val="32"/>
          <w:lang w:val="en-US" w:eastAsia="zh-CN"/>
        </w:rPr>
        <w:t>每所学校都在努力进行转型的深化，作为学校管理者，应努力摒弃原有的“点状关注”的思维，培养“整体关联”的意识，学校文化，正是关联管理机制、课程体系、课堂学习、评价样态、教师发展等的粘合剂。“学校文化是经过长期发展历史积淀而形成的全校师生的教育实践方式及其创造的总和”。因此，作为管理者，需要找寻到学校文化体系的逻辑起点，需要我们以整体思维去认识。 怎么做？那就是学习。读万卷书，方能集灼见思真知。成长营为每一位成员精心准备了管理丛书，悦读，是为了让每一位成员塑造分析思考能力、协调沟通能力、文化创设能力、凝聚引领能力和调整生成能力。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bCs/>
          <w:sz w:val="24"/>
          <w:szCs w:val="32"/>
          <w:lang w:val="en-US" w:eastAsia="zh-CN"/>
        </w:rPr>
      </w:pPr>
      <w:r>
        <w:rPr>
          <w:rFonts w:hint="eastAsia" w:ascii="宋体" w:hAnsi="宋体" w:eastAsia="宋体" w:cs="宋体"/>
          <w:b/>
          <w:bCs/>
          <w:sz w:val="24"/>
          <w:szCs w:val="32"/>
          <w:lang w:val="en-US" w:eastAsia="zh-CN"/>
        </w:rPr>
        <w:t>新北区钱丽美卓越人才成长营书单</w:t>
      </w:r>
    </w:p>
    <w:tbl>
      <w:tblPr>
        <w:tblStyle w:val="2"/>
        <w:tblW w:w="956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080"/>
        <w:gridCol w:w="1716"/>
        <w:gridCol w:w="2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BE6D6" w:themeFill="accent2" w:themeFillTint="32"/>
            <w:vAlign w:val="center"/>
          </w:tcPr>
          <w:p>
            <w:pPr>
              <w:keepNext w:val="0"/>
              <w:keepLines w:val="0"/>
              <w:widowControl/>
              <w:suppressLineNumbers w:val="0"/>
              <w:jc w:val="center"/>
              <w:textAlignment w:val="center"/>
              <w:rPr>
                <w:rFonts w:ascii="仿宋_GB2312" w:hAnsi="Tahoma" w:eastAsia="仿宋_GB2312" w:cs="仿宋_GB2312"/>
                <w:b/>
                <w:bCs/>
                <w:i w:val="0"/>
                <w:iCs w:val="0"/>
                <w:color w:val="000000"/>
                <w:sz w:val="24"/>
                <w:szCs w:val="24"/>
                <w:u w:val="none"/>
              </w:rPr>
            </w:pPr>
            <w:r>
              <w:rPr>
                <w:rFonts w:hint="default" w:ascii="仿宋_GB2312" w:hAnsi="Tahoma" w:eastAsia="仿宋_GB2312" w:cs="仿宋_GB2312"/>
                <w:b/>
                <w:bCs/>
                <w:i w:val="0"/>
                <w:iCs w:val="0"/>
                <w:color w:val="000000"/>
                <w:kern w:val="0"/>
                <w:sz w:val="24"/>
                <w:szCs w:val="24"/>
                <w:u w:val="none"/>
                <w:lang w:val="en-US" w:eastAsia="zh-CN" w:bidi="ar"/>
              </w:rPr>
              <w:t>序号</w:t>
            </w:r>
          </w:p>
        </w:tc>
        <w:tc>
          <w:tcPr>
            <w:tcW w:w="4080" w:type="dxa"/>
            <w:tcBorders>
              <w:top w:val="single" w:color="000000" w:sz="4" w:space="0"/>
              <w:left w:val="single" w:color="000000" w:sz="4" w:space="0"/>
              <w:bottom w:val="single" w:color="000000" w:sz="4" w:space="0"/>
              <w:right w:val="single" w:color="000000" w:sz="4" w:space="0"/>
            </w:tcBorders>
            <w:shd w:val="clear" w:color="auto" w:fill="FBE6D6" w:themeFill="accent2" w:themeFillTint="32"/>
            <w:vAlign w:val="center"/>
          </w:tcPr>
          <w:p>
            <w:pPr>
              <w:keepNext w:val="0"/>
              <w:keepLines w:val="0"/>
              <w:widowControl/>
              <w:suppressLineNumbers w:val="0"/>
              <w:jc w:val="center"/>
              <w:textAlignment w:val="center"/>
              <w:rPr>
                <w:rFonts w:hint="default" w:ascii="仿宋_GB2312" w:hAnsi="Tahoma" w:eastAsia="仿宋_GB2312" w:cs="仿宋_GB2312"/>
                <w:b/>
                <w:bCs/>
                <w:i w:val="0"/>
                <w:iCs w:val="0"/>
                <w:color w:val="000000"/>
                <w:sz w:val="24"/>
                <w:szCs w:val="24"/>
                <w:u w:val="none"/>
              </w:rPr>
            </w:pPr>
            <w:r>
              <w:rPr>
                <w:rFonts w:hint="eastAsia" w:ascii="仿宋_GB2312" w:hAnsi="Tahoma" w:eastAsia="仿宋_GB2312" w:cs="仿宋_GB2312"/>
                <w:b/>
                <w:bCs/>
                <w:i w:val="0"/>
                <w:iCs w:val="0"/>
                <w:color w:val="000000"/>
                <w:kern w:val="0"/>
                <w:sz w:val="24"/>
                <w:szCs w:val="24"/>
                <w:u w:val="none"/>
                <w:lang w:val="en-US" w:eastAsia="zh-CN" w:bidi="ar"/>
              </w:rPr>
              <w:t>书名</w:t>
            </w:r>
          </w:p>
        </w:tc>
        <w:tc>
          <w:tcPr>
            <w:tcW w:w="1716" w:type="dxa"/>
            <w:tcBorders>
              <w:top w:val="single" w:color="000000" w:sz="4" w:space="0"/>
              <w:left w:val="single" w:color="000000" w:sz="4" w:space="0"/>
              <w:bottom w:val="single" w:color="000000" w:sz="4" w:space="0"/>
              <w:right w:val="single" w:color="000000" w:sz="4" w:space="0"/>
            </w:tcBorders>
            <w:shd w:val="clear" w:color="auto" w:fill="FBE6D6" w:themeFill="accent2" w:themeFillTint="32"/>
            <w:vAlign w:val="center"/>
          </w:tcPr>
          <w:p>
            <w:pPr>
              <w:keepNext w:val="0"/>
              <w:keepLines w:val="0"/>
              <w:widowControl/>
              <w:suppressLineNumbers w:val="0"/>
              <w:jc w:val="center"/>
              <w:textAlignment w:val="center"/>
              <w:rPr>
                <w:rFonts w:hint="eastAsia" w:ascii="仿宋_GB2312" w:hAnsi="Tahoma" w:eastAsia="仿宋_GB2312" w:cs="仿宋_GB2312"/>
                <w:b/>
                <w:bCs/>
                <w:i w:val="0"/>
                <w:iCs w:val="0"/>
                <w:color w:val="000000"/>
                <w:kern w:val="0"/>
                <w:sz w:val="24"/>
                <w:szCs w:val="24"/>
                <w:u w:val="none"/>
                <w:lang w:val="en-US" w:eastAsia="zh-CN" w:bidi="ar"/>
              </w:rPr>
            </w:pPr>
            <w:r>
              <w:rPr>
                <w:rFonts w:hint="default" w:ascii="仿宋_GB2312" w:hAnsi="Tahoma" w:eastAsia="仿宋_GB2312" w:cs="仿宋_GB2312"/>
                <w:b/>
                <w:bCs/>
                <w:i w:val="0"/>
                <w:iCs w:val="0"/>
                <w:color w:val="000000"/>
                <w:kern w:val="0"/>
                <w:sz w:val="24"/>
                <w:szCs w:val="24"/>
                <w:u w:val="none"/>
                <w:lang w:val="en-US" w:eastAsia="zh-CN" w:bidi="ar"/>
              </w:rPr>
              <w:t>序号</w:t>
            </w:r>
          </w:p>
        </w:tc>
        <w:tc>
          <w:tcPr>
            <w:tcW w:w="2690" w:type="dxa"/>
            <w:tcBorders>
              <w:top w:val="single" w:color="000000" w:sz="4" w:space="0"/>
              <w:left w:val="single" w:color="000000" w:sz="4" w:space="0"/>
              <w:bottom w:val="single" w:color="000000" w:sz="4" w:space="0"/>
              <w:right w:val="single" w:color="000000" w:sz="4" w:space="0"/>
            </w:tcBorders>
            <w:shd w:val="clear" w:color="auto" w:fill="FBE6D6" w:themeFill="accent2" w:themeFillTint="32"/>
            <w:vAlign w:val="center"/>
          </w:tcPr>
          <w:p>
            <w:pPr>
              <w:keepNext w:val="0"/>
              <w:keepLines w:val="0"/>
              <w:widowControl/>
              <w:suppressLineNumbers w:val="0"/>
              <w:jc w:val="center"/>
              <w:textAlignment w:val="center"/>
              <w:rPr>
                <w:rFonts w:hint="eastAsia" w:ascii="仿宋_GB2312" w:hAnsi="Tahoma" w:eastAsia="仿宋_GB2312" w:cs="仿宋_GB2312"/>
                <w:b/>
                <w:bCs/>
                <w:i w:val="0"/>
                <w:iCs w:val="0"/>
                <w:color w:val="000000"/>
                <w:kern w:val="0"/>
                <w:sz w:val="24"/>
                <w:szCs w:val="24"/>
                <w:u w:val="none"/>
                <w:lang w:val="en-US" w:eastAsia="zh-CN" w:bidi="ar"/>
              </w:rPr>
            </w:pPr>
            <w:r>
              <w:rPr>
                <w:rFonts w:hint="eastAsia" w:ascii="仿宋_GB2312" w:hAnsi="Tahoma" w:eastAsia="仿宋_GB2312" w:cs="仿宋_GB2312"/>
                <w:b/>
                <w:bCs/>
                <w:i w:val="0"/>
                <w:iCs w:val="0"/>
                <w:color w:val="000000"/>
                <w:kern w:val="0"/>
                <w:sz w:val="24"/>
                <w:szCs w:val="24"/>
                <w:u w:val="none"/>
                <w:lang w:val="en-US" w:eastAsia="zh-CN" w:bidi="ar"/>
              </w:rPr>
              <w:t>书名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《爱的教育》</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《领导力的五个层级》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《变革的力量——领导者的变革指南》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《生命的重建》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《第五项修炼-学习型组织的艺术与实践》</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《中国哲学简史》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《反脆弱——从不确定性中获益》</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楷体" w:hAnsi="楷体" w:eastAsia="楷体" w:cs="楷体"/>
          <w:b/>
          <w:bCs/>
          <w:sz w:val="24"/>
          <w:szCs w:val="32"/>
          <w:lang w:val="en-US" w:eastAsia="zh-CN"/>
        </w:rPr>
      </w:pPr>
      <w:r>
        <w:rPr>
          <w:rFonts w:hint="eastAsia" w:ascii="楷体" w:hAnsi="楷体" w:eastAsia="楷体" w:cs="楷体"/>
          <w:b/>
          <w:bCs/>
          <w:sz w:val="24"/>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jc w:val="left"/>
        <w:textAlignment w:val="auto"/>
        <w:rPr>
          <w:rFonts w:hint="default" w:ascii="楷体" w:hAnsi="楷体" w:eastAsia="楷体" w:cs="楷体"/>
          <w:b/>
          <w:bCs/>
          <w:sz w:val="24"/>
          <w:szCs w:val="32"/>
          <w:lang w:val="en-US" w:eastAsia="zh-CN"/>
        </w:rPr>
      </w:pPr>
      <w:r>
        <w:rPr>
          <w:rFonts w:hint="eastAsia" w:ascii="楷体" w:hAnsi="楷体" w:eastAsia="楷体" w:cs="楷体"/>
          <w:b/>
          <w:bCs/>
          <w:sz w:val="24"/>
          <w:szCs w:val="32"/>
          <w:lang w:val="en-US" w:eastAsia="zh-CN"/>
        </w:rPr>
        <w:t>圆桌会，在思维碰撞中生发新思考。</w:t>
      </w:r>
      <w:r>
        <w:rPr>
          <w:rFonts w:hint="eastAsia" w:ascii="宋体" w:hAnsi="宋体" w:eastAsia="宋体" w:cs="宋体"/>
          <w:i w:val="0"/>
          <w:iCs w:val="0"/>
          <w:color w:val="000000"/>
          <w:kern w:val="0"/>
          <w:sz w:val="22"/>
          <w:szCs w:val="22"/>
          <w:u w:val="none"/>
          <w:lang w:val="en-US" w:eastAsia="zh-CN" w:bidi="ar"/>
        </w:rPr>
        <w:t>学习力不仅仅体现在阅读，更在于思维碰撞，举办一次深度交流会，一方面，聆听他人的思考，现场学习，让每一位成员因为学习而生命之树常绿。每一所学校都有其不可言传的独特之处，这种独特之处就叫做文化。不断创新的学校文化是有效提升学校教育质量的根基，是学校赖以生存可持续发展的支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left"/>
        <w:textAlignment w:val="auto"/>
        <w:rPr>
          <w:rFonts w:hint="default" w:ascii="楷体" w:hAnsi="楷体" w:eastAsia="楷体" w:cs="楷体"/>
          <w:b/>
          <w:bCs/>
          <w:sz w:val="24"/>
          <w:szCs w:val="32"/>
          <w:lang w:val="en-US" w:eastAsia="zh-CN"/>
        </w:rPr>
      </w:pPr>
      <w:r>
        <w:rPr>
          <w:rFonts w:hint="eastAsia" w:ascii="宋体" w:hAnsi="宋体" w:eastAsia="宋体" w:cs="宋体"/>
          <w:i w:val="0"/>
          <w:iCs w:val="0"/>
          <w:color w:val="000000"/>
          <w:kern w:val="0"/>
          <w:sz w:val="22"/>
          <w:szCs w:val="22"/>
          <w:u w:val="none"/>
          <w:lang w:val="en-US" w:eastAsia="zh-CN" w:bidi="ar"/>
        </w:rPr>
        <w:t>圆桌会，基于个体差异构成的资源，在交流中，他者经验的纳入，本我的纳入，动力的纳入，团队成员不断优化自己的思维结构。另一方面，圆桌交流会，让彼此经验互享，领导力共享，知识共享，不断激发成长营团队成员的创造力，达成共识，是新时代学校管理人员的领导力，是从管理（做事）走向领导（成人）的核心课题。圆桌会，经验分享、问题解决，逐步完善团队成员帮助他人解决问题的能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jc w:val="left"/>
        <w:textAlignment w:val="auto"/>
        <w:rPr>
          <w:rFonts w:hint="default" w:ascii="宋体" w:hAnsi="宋体" w:eastAsia="宋体" w:cs="宋体"/>
          <w:i w:val="0"/>
          <w:iCs w:val="0"/>
          <w:color w:val="000000"/>
          <w:kern w:val="0"/>
          <w:sz w:val="22"/>
          <w:szCs w:val="22"/>
          <w:u w:val="none"/>
          <w:lang w:val="en-US" w:eastAsia="zh-CN" w:bidi="ar"/>
        </w:rPr>
      </w:pPr>
      <w:r>
        <w:rPr>
          <w:rFonts w:hint="eastAsia" w:ascii="楷体" w:hAnsi="楷体" w:eastAsia="楷体" w:cs="楷体"/>
          <w:b/>
          <w:bCs/>
          <w:sz w:val="24"/>
          <w:szCs w:val="32"/>
          <w:lang w:val="en-US" w:eastAsia="zh-CN"/>
        </w:rPr>
        <w:t>行动力，在参观访学中博采他山之石。</w:t>
      </w:r>
      <w:r>
        <w:rPr>
          <w:rFonts w:hint="eastAsia" w:ascii="宋体" w:hAnsi="宋体" w:eastAsia="宋体" w:cs="宋体"/>
          <w:i w:val="0"/>
          <w:iCs w:val="0"/>
          <w:color w:val="000000"/>
          <w:kern w:val="0"/>
          <w:sz w:val="22"/>
          <w:szCs w:val="22"/>
          <w:u w:val="none"/>
          <w:lang w:val="en-US" w:eastAsia="zh-CN" w:bidi="ar"/>
        </w:rPr>
        <w:t>一所好的学校，其文化引领教师共同发展。一所学校的办学理念，办学目标，乃至其可持续发展，离不开管理团队的共同努力。参观访学，走进区域内不同学校，走进天合光能等名企，异域分享，让每一位团队成员感受文化育人的魅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i w:val="0"/>
          <w:iCs w:val="0"/>
          <w:color w:val="000000"/>
          <w:kern w:val="0"/>
          <w:sz w:val="22"/>
          <w:szCs w:val="22"/>
          <w:u w:val="none"/>
          <w:lang w:val="en-US" w:eastAsia="zh-CN" w:bidi="ar"/>
        </w:rPr>
      </w:pPr>
      <w:bookmarkStart w:id="0" w:name="_GoBack"/>
      <w:r>
        <w:rPr>
          <w:rFonts w:hint="eastAsia" w:ascii="宋体" w:hAnsi="宋体" w:eastAsia="宋体" w:cs="宋体"/>
          <w:i w:val="0"/>
          <w:iCs w:val="0"/>
          <w:color w:val="000000"/>
          <w:kern w:val="0"/>
          <w:sz w:val="22"/>
          <w:szCs w:val="22"/>
          <w:u w:val="none"/>
          <w:lang w:val="en-US" w:eastAsia="zh-CN" w:bidi="ar"/>
        </w:rPr>
        <w:t>附件：钱丽美卓越人才成长营学期活动安排表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40"/>
        <w:gridCol w:w="2933"/>
        <w:gridCol w:w="299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序号</w:t>
            </w:r>
          </w:p>
        </w:tc>
        <w:tc>
          <w:tcPr>
            <w:tcW w:w="1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时间</w:t>
            </w:r>
          </w:p>
        </w:tc>
        <w:tc>
          <w:tcPr>
            <w:tcW w:w="293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地点</w:t>
            </w:r>
          </w:p>
        </w:tc>
        <w:tc>
          <w:tcPr>
            <w:tcW w:w="299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活动主题</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特邀嘉宾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1</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11月</w:t>
            </w:r>
          </w:p>
        </w:tc>
        <w:tc>
          <w:tcPr>
            <w:tcW w:w="293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龙虎塘第二实验小学</w:t>
            </w:r>
          </w:p>
        </w:tc>
        <w:tc>
          <w:tcPr>
            <w:tcW w:w="299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成长营规划、方案、计划论证</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张向坤局长、姜明红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2</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12月</w:t>
            </w:r>
          </w:p>
        </w:tc>
        <w:tc>
          <w:tcPr>
            <w:tcW w:w="293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龙虎塘第二实验小学、天合光能</w:t>
            </w:r>
          </w:p>
        </w:tc>
        <w:tc>
          <w:tcPr>
            <w:tcW w:w="29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跨域学习，提升文化引领力</w:t>
            </w:r>
          </w:p>
        </w:tc>
        <w:tc>
          <w:tcPr>
            <w:tcW w:w="1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潘晨光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3</w:t>
            </w:r>
          </w:p>
        </w:tc>
        <w:tc>
          <w:tcPr>
            <w:tcW w:w="11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1月</w:t>
            </w:r>
          </w:p>
        </w:tc>
        <w:tc>
          <w:tcPr>
            <w:tcW w:w="293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龙虎塘第二实验小学（暂定）</w:t>
            </w:r>
          </w:p>
        </w:tc>
        <w:tc>
          <w:tcPr>
            <w:tcW w:w="299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学校文化建设的思与行（新学期，学校治理策划）</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2"/>
                <w:szCs w:val="22"/>
                <w:u w:val="none"/>
                <w:vertAlign w:val="baseline"/>
                <w:lang w:val="en-US" w:eastAsia="zh-CN" w:bidi="ar"/>
              </w:rPr>
            </w:pPr>
            <w:r>
              <w:rPr>
                <w:rFonts w:hint="eastAsia" w:ascii="宋体" w:hAnsi="宋体" w:eastAsia="宋体" w:cs="宋体"/>
                <w:i w:val="0"/>
                <w:iCs w:val="0"/>
                <w:color w:val="000000"/>
                <w:kern w:val="0"/>
                <w:sz w:val="22"/>
                <w:szCs w:val="22"/>
                <w:u w:val="none"/>
                <w:vertAlign w:val="baseline"/>
                <w:lang w:val="en-US" w:eastAsia="zh-CN" w:bidi="ar"/>
              </w:rPr>
              <w:t>待定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i w:val="0"/>
          <w:iCs w:val="0"/>
          <w:color w:val="000000"/>
          <w:kern w:val="0"/>
          <w:sz w:val="22"/>
          <w:szCs w:val="22"/>
          <w:u w:val="none"/>
          <w:lang w:val="en-US" w:eastAsia="zh-CN" w:bidi="ar"/>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E09CF"/>
    <w:multiLevelType w:val="singleLevel"/>
    <w:tmpl w:val="C6BE09CF"/>
    <w:lvl w:ilvl="0" w:tentative="0">
      <w:start w:val="1"/>
      <w:numFmt w:val="decimal"/>
      <w:lvlText w:val="%1."/>
      <w:lvlJc w:val="left"/>
      <w:pPr>
        <w:tabs>
          <w:tab w:val="left" w:pos="312"/>
        </w:tabs>
        <w:ind w:left="480" w:leftChars="0" w:firstLine="0" w:firstLineChars="0"/>
      </w:pPr>
    </w:lvl>
  </w:abstractNum>
  <w:abstractNum w:abstractNumId="1">
    <w:nsid w:val="EA163CEC"/>
    <w:multiLevelType w:val="singleLevel"/>
    <w:tmpl w:val="EA163CEC"/>
    <w:lvl w:ilvl="0" w:tentative="0">
      <w:start w:val="1"/>
      <w:numFmt w:val="decimal"/>
      <w:lvlText w:val="%1."/>
      <w:lvlJc w:val="left"/>
      <w:pPr>
        <w:tabs>
          <w:tab w:val="left" w:pos="312"/>
        </w:tabs>
      </w:pPr>
    </w:lvl>
  </w:abstractNum>
  <w:abstractNum w:abstractNumId="2">
    <w:nsid w:val="76AC761A"/>
    <w:multiLevelType w:val="singleLevel"/>
    <w:tmpl w:val="76AC761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35F12A37"/>
    <w:rsid w:val="334F7C88"/>
    <w:rsid w:val="35F12A37"/>
    <w:rsid w:val="435A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2023-12-25T02:16:00Z</dcterms:created>
  <dc:creator>1</dc:creator>
  <cp:lastModifiedBy>1</cp:lastModifiedBy>
  <dcterms:modified xsi:type="dcterms:W3CDTF">2023-12-25T22:01:30Z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47F5151DBA06448EA0EA505526E2A2CE_13</vt:lpwstr>
  </property>
</Properties>
</file>