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4"/>
        </w:tabs>
        <w:bidi w:val="0"/>
        <w:ind w:firstLine="964" w:firstLineChars="300"/>
        <w:jc w:val="left"/>
        <w:rPr>
          <w:rFonts w:hint="eastAsia" w:cs="Times New Roman"/>
          <w:kern w:val="2"/>
          <w:sz w:val="21"/>
          <w:szCs w:val="24"/>
          <w:lang w:val="en-US" w:eastAsia="zh-CN" w:bidi="ar-SA"/>
        </w:rPr>
      </w:pPr>
      <w:r>
        <w:rPr>
          <w:rFonts w:hint="eastAsia" w:cs="Times New Roman"/>
          <w:b/>
          <w:bCs/>
          <w:kern w:val="2"/>
          <w:sz w:val="32"/>
          <w:szCs w:val="40"/>
          <w:lang w:val="en-US" w:eastAsia="zh-CN" w:bidi="ar-SA"/>
        </w:rPr>
        <w:t>常州市郑陆实验学校（小学部）课堂观察教师自评表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990"/>
        <w:gridCol w:w="3928"/>
        <w:gridCol w:w="108"/>
        <w:gridCol w:w="605"/>
        <w:gridCol w:w="595"/>
        <w:gridCol w:w="63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pPr>
              <w:tabs>
                <w:tab w:val="left" w:pos="2584"/>
              </w:tabs>
              <w:bidi w:val="0"/>
              <w:jc w:val="left"/>
              <w:rPr>
                <w:rFonts w:hint="default" w:eastAsia="宋体" w:cs="Times New Roman"/>
                <w:kern w:val="2"/>
                <w:sz w:val="21"/>
                <w:szCs w:val="24"/>
                <w:vertAlign w:val="baseline"/>
                <w:lang w:val="en-US" w:eastAsia="zh-CN" w:bidi="ar-SA"/>
              </w:rPr>
            </w:pPr>
            <w:r>
              <w:rPr>
                <w:rFonts w:ascii="宋体" w:hAnsi="宋体" w:eastAsia="宋体" w:cs="宋体"/>
                <w:sz w:val="24"/>
                <w:szCs w:val="24"/>
              </w:rPr>
              <w:t>教学内容:</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《狼牙山五壮士》</w:t>
            </w:r>
            <w:r>
              <w:rPr>
                <w:rFonts w:ascii="宋体" w:hAnsi="宋体" w:eastAsia="宋体" w:cs="宋体"/>
                <w:sz w:val="24"/>
                <w:szCs w:val="24"/>
              </w:rPr>
              <w:t>任课教师: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蔡成莹</w:t>
            </w:r>
            <w:r>
              <w:rPr>
                <w:rFonts w:hint="eastAsia" w:ascii="宋体" w:hAnsi="宋体" w:eastAsia="宋体" w:cs="宋体"/>
                <w:sz w:val="24"/>
                <w:szCs w:val="24"/>
                <w:lang w:val="en-US" w:eastAsia="zh-CN"/>
              </w:rPr>
              <w:t xml:space="preserve">  </w:t>
            </w:r>
            <w:r>
              <w:rPr>
                <w:rFonts w:ascii="宋体" w:hAnsi="宋体" w:eastAsia="宋体" w:cs="宋体"/>
                <w:sz w:val="24"/>
                <w:szCs w:val="24"/>
              </w:rPr>
              <w:t>班级:</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六6</w:t>
            </w:r>
            <w:r>
              <w:rPr>
                <w:rFonts w:hint="eastAsia" w:ascii="宋体" w:hAnsi="宋体" w:eastAsia="宋体" w:cs="宋体"/>
                <w:sz w:val="24"/>
                <w:szCs w:val="24"/>
                <w:lang w:val="en-US" w:eastAsia="zh-CN"/>
              </w:rPr>
              <w:t xml:space="preserve">  </w:t>
            </w:r>
            <w:r>
              <w:rPr>
                <w:rFonts w:ascii="宋体" w:hAnsi="宋体" w:eastAsia="宋体" w:cs="宋体"/>
                <w:sz w:val="24"/>
                <w:szCs w:val="24"/>
              </w:rPr>
              <w:t>日期:</w:t>
            </w:r>
            <w:r>
              <w:rPr>
                <w:rFonts w:hint="eastAsia" w:ascii="宋体" w:hAnsi="宋体" w:cs="宋体"/>
                <w:sz w:val="24"/>
                <w:szCs w:val="24"/>
                <w:lang w:val="en-US" w:eastAsia="zh-CN"/>
              </w:rPr>
              <w:t>2022.3.24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noWrap w:val="0"/>
            <w:vAlign w:val="center"/>
          </w:tcPr>
          <w:p>
            <w:pPr>
              <w:tabs>
                <w:tab w:val="left" w:pos="2584"/>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自评</w:t>
            </w:r>
          </w:p>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指标</w:t>
            </w:r>
          </w:p>
        </w:tc>
        <w:tc>
          <w:tcPr>
            <w:tcW w:w="6026" w:type="dxa"/>
            <w:gridSpan w:val="3"/>
            <w:vMerge w:val="restart"/>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典型行为</w:t>
            </w:r>
          </w:p>
        </w:tc>
        <w:tc>
          <w:tcPr>
            <w:tcW w:w="1855" w:type="dxa"/>
            <w:gridSpan w:val="4"/>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教师自评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026" w:type="dxa"/>
            <w:gridSpan w:val="3"/>
            <w:vMerge w:val="continue"/>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05" w:type="dxa"/>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595" w:type="dxa"/>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655" w:type="dxa"/>
            <w:gridSpan w:val="2"/>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41" w:type="dxa"/>
            <w:vMerge w:val="restart"/>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沟通</w:t>
            </w:r>
          </w:p>
        </w:tc>
        <w:tc>
          <w:tcPr>
            <w:tcW w:w="6026" w:type="dxa"/>
            <w:gridSpan w:val="3"/>
            <w:noWrap w:val="0"/>
            <w:vAlign w:val="center"/>
          </w:tcPr>
          <w:p>
            <w:pPr>
              <w:tabs>
                <w:tab w:val="left" w:pos="2584"/>
              </w:tabs>
              <w:bidi w:val="0"/>
              <w:jc w:val="both"/>
              <w:rPr>
                <w:rFonts w:hint="default" w:cs="Times New Roman"/>
                <w:kern w:val="2"/>
                <w:sz w:val="18"/>
                <w:szCs w:val="18"/>
                <w:vertAlign w:val="baseline"/>
                <w:lang w:val="en-US" w:eastAsia="zh-CN" w:bidi="ar-SA"/>
              </w:rPr>
            </w:pPr>
            <w:r>
              <w:rPr>
                <w:rFonts w:ascii="宋体" w:hAnsi="宋体" w:eastAsia="宋体" w:cs="宋体"/>
                <w:sz w:val="18"/>
                <w:szCs w:val="18"/>
              </w:rPr>
              <w:t>1.在课前、上课的过程中亲切地称呼学生。</w:t>
            </w:r>
          </w:p>
        </w:tc>
        <w:tc>
          <w:tcPr>
            <w:tcW w:w="605" w:type="dxa"/>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595" w:type="dxa"/>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2.课堂气驾轻松活泼，在课堂气氛沉闷紧张的时跌能够用言语、笑声、亲刃的话调进沟通行及时的调整</w:t>
            </w:r>
            <w:r>
              <w:rPr>
                <w:rFonts w:hint="eastAsia" w:ascii="宋体" w:hAnsi="宋体" w:eastAsia="宋体" w:cs="宋体"/>
                <w:sz w:val="18"/>
                <w:szCs w:val="18"/>
                <w:lang w:eastAsia="zh-CN"/>
              </w:rPr>
              <w:t>，</w:t>
            </w:r>
            <w:r>
              <w:rPr>
                <w:rFonts w:ascii="宋体" w:hAnsi="宋体" w:eastAsia="宋体" w:cs="宋体"/>
                <w:sz w:val="18"/>
                <w:szCs w:val="18"/>
              </w:rPr>
              <w:t>营造安全而轻松的氛围。</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3.在学生心情压抑或情绪低落的时候，教师能够敏锐地捕捉并适时地用语言给予激励。</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4.教师在课堂中适当地用二些肢体语言和学生进行沟通。</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noWrap w:val="0"/>
            <w:vAlign w:val="top"/>
          </w:tcPr>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学习激励</w:t>
            </w: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1.在学生思考向题的时候提供足够的等待时间。</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2.学生回答问题时总是用期待的眼神看着学生，耐心、认真地倾听，对他表示尊重和鼓励，不随意打断学生的发言。</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3.在学生没有理解教师的指令或回答错误或不能回客的时候，采用重述问题、解释问激励题、转化等策略，没有侮辱性语言。</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4.在学生表现出正确的行为时，教师使用有息义而非评论性的口头表扬，促进学生的继续学习行为。</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5.课堂上涉及课堂纪律的话题是正面的表述和期望。</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6.在合作学习中，帮助而学生发现获得同伴认可的策略。</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41" w:type="dxa"/>
            <w:vMerge w:val="restart"/>
            <w:noWrap w:val="0"/>
            <w:vAlign w:val="top"/>
          </w:tcPr>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任务设计与反馈</w:t>
            </w: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1.在教学过程中，能够使用学生感兴趣或贴近学生生活的内容来创设教学情境或设计教学活动。</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655"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2.在一种非评价性气氛中提供反馈(如学生第二次回答问题时或在有指导的练习开始设计时，可以让学生不受约束地集体回答或悄悄回答，教师寄语非评价性的反馈。</w:t>
            </w:r>
            <w:r>
              <w:rPr>
                <w:rFonts w:hint="eastAsia" w:ascii="宋体" w:hAnsi="宋体" w:eastAsia="宋体" w:cs="宋体"/>
                <w:sz w:val="18"/>
                <w:szCs w:val="18"/>
                <w:lang w:eastAsia="zh-CN"/>
              </w:rPr>
              <w:t>）</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3.有可能需要的学生准备个性化学习材料(如纠正性练习或拓展性练习等)</w:t>
            </w:r>
            <w:r>
              <w:rPr>
                <w:rFonts w:hint="eastAsia" w:ascii="宋体" w:hAnsi="宋体" w:eastAsia="宋体" w:cs="宋体"/>
                <w:sz w:val="18"/>
                <w:szCs w:val="18"/>
                <w:lang w:eastAsia="zh-CN"/>
              </w:rPr>
              <w:t>。</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655"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4.通过不同认知方 式的教学环节搭配，维持学生较稳定的注 意力:在学生注意力有所下降时，使用休息、操作、练习等方式转移注意力</w:t>
            </w:r>
            <w:r>
              <w:rPr>
                <w:rFonts w:hint="eastAsia" w:ascii="宋体" w:hAnsi="宋体" w:eastAsia="宋体" w:cs="宋体"/>
                <w:sz w:val="18"/>
                <w:szCs w:val="18"/>
                <w:lang w:eastAsia="zh-CN"/>
              </w:rPr>
              <w:t>。</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5.在学生做课堂作业时，在整个班级巡视，提供必要的指导线索</w:t>
            </w:r>
            <w:r>
              <w:rPr>
                <w:rFonts w:hint="eastAsia" w:ascii="宋体" w:hAnsi="宋体" w:eastAsia="宋体" w:cs="宋体"/>
                <w:sz w:val="18"/>
                <w:szCs w:val="18"/>
                <w:lang w:eastAsia="zh-CN"/>
              </w:rPr>
              <w:t>。</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6.尽可能给学生提供合作学习或表现成功的机会。</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restart"/>
            <w:noWrap w:val="0"/>
            <w:vAlign w:val="top"/>
          </w:tcPr>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学生表现</w:t>
            </w: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1.整堂课都保持较高的投入度，较少出现非学习性的行为。认真倾听教师的讲解和同伴的发言，神情与姿态流露出对学习内容的高度关注。</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2.对课堂提问的参与度高，始终积极主动地回答教师的提问，乐于并普于表达自己的表现想法。</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3.课堂互动呈现师对生， 生对生，全员参与的网状互动模式。</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4.通过自我建构学习知识，掌握技能，思维时到一定的发展。</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5.学习活动能围绕学习目标展开，三分之二的学生能达成目标。</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026"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6.在本课学习结束后，愿意继续学习或主动练习。</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center"/>
          </w:tcPr>
          <w:p>
            <w:pPr>
              <w:tabs>
                <w:tab w:val="left" w:pos="2584"/>
              </w:tabs>
              <w:bidi w:val="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noWrap w:val="0"/>
            <w:vAlign w:val="top"/>
          </w:tcPr>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对以上积极情感反思</w:t>
            </w:r>
          </w:p>
        </w:tc>
        <w:tc>
          <w:tcPr>
            <w:tcW w:w="6026" w:type="dxa"/>
            <w:gridSpan w:val="3"/>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无</w:t>
            </w:r>
          </w:p>
        </w:tc>
        <w:tc>
          <w:tcPr>
            <w:tcW w:w="60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595"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55"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641" w:type="dxa"/>
            <w:vMerge w:val="restart"/>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 xml:space="preserve"> </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学习目标与学习活动的一致性</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1990"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目标1：</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学习用小标题的形式概括梳理课文内容</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3928"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1.自由朗读课文，运用小妙招概括四字标题</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2.根据小标题，说说课文讲了一件什么事？</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3.同桌互说</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4.教师小结</w:t>
            </w:r>
          </w:p>
          <w:p>
            <w:pPr>
              <w:numPr>
                <w:ilvl w:val="0"/>
                <w:numId w:val="0"/>
              </w:num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时间：10分钟</w:t>
            </w:r>
          </w:p>
        </w:tc>
        <w:tc>
          <w:tcPr>
            <w:tcW w:w="1946"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较好</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1.教师应该带学生一步步找到概括小标题的方法，而不是直接出示方法。2.继续注重对学生列小题能力的培养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1990"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目标2：</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抓住关键词句评析战斗场面，体会狼牙山五壮士有勇有谋的形象。</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3928"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1.默读课文，划出让你感受到战士在痛击敌人的句子，写一写批注。</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2.学生交流，教师相机点拨抓住关键词句，抓住人物描写的方法体会人物形象。</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时间15分钟</w:t>
            </w:r>
          </w:p>
          <w:p>
            <w:pPr>
              <w:tabs>
                <w:tab w:val="left" w:pos="2584"/>
              </w:tabs>
              <w:bidi w:val="0"/>
              <w:jc w:val="left"/>
              <w:rPr>
                <w:rFonts w:hint="default" w:cs="Times New Roman"/>
                <w:kern w:val="2"/>
                <w:sz w:val="21"/>
                <w:szCs w:val="24"/>
                <w:vertAlign w:val="baseline"/>
                <w:lang w:val="en-US" w:eastAsia="zh-CN" w:bidi="ar-SA"/>
              </w:rPr>
            </w:pPr>
          </w:p>
        </w:tc>
        <w:tc>
          <w:tcPr>
            <w:tcW w:w="1946"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较好</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过渡语需要进一步加强。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641"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1990"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目标3：</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在阅读中领悟点面结合的写作方法</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3928"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1.引导学生体会五位战士攻打敌人的不同特点。</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2.提问前两句描写了什么？</w:t>
            </w:r>
          </w:p>
          <w:p>
            <w:pPr>
              <w:numPr>
                <w:ilvl w:val="0"/>
                <w:numId w:val="0"/>
              </w:num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3.引出点面结合的写作方法。</w:t>
            </w:r>
          </w:p>
          <w:p>
            <w:pPr>
              <w:numPr>
                <w:ilvl w:val="0"/>
                <w:numId w:val="0"/>
              </w:num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时间10分钟</w:t>
            </w:r>
          </w:p>
        </w:tc>
        <w:tc>
          <w:tcPr>
            <w:tcW w:w="1946"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较好</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写作方法还需进一步引导。</w:t>
            </w:r>
          </w:p>
        </w:tc>
      </w:tr>
    </w:tbl>
    <w:p>
      <w:pPr>
        <w:tabs>
          <w:tab w:val="left" w:pos="2584"/>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说明：</w:t>
      </w:r>
    </w:p>
    <w:p>
      <w:pPr>
        <w:numPr>
          <w:ilvl w:val="0"/>
          <w:numId w:val="1"/>
        </w:numPr>
        <w:tabs>
          <w:tab w:val="left" w:pos="2584"/>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教师自评中的数值1-3分别表示：该指标内容在课堂实施中基本达成、达成度较好、达成度很高。</w:t>
      </w:r>
    </w:p>
    <w:p>
      <w:pPr>
        <w:numPr>
          <w:ilvl w:val="0"/>
          <w:numId w:val="1"/>
        </w:numPr>
        <w:tabs>
          <w:tab w:val="left" w:pos="2584"/>
        </w:tabs>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对本节课中无法体现的指标内容可以不做评价。</w:t>
      </w: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5C55"/>
    <w:multiLevelType w:val="singleLevel"/>
    <w:tmpl w:val="FDB85C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DI1NWIyNjQzNjBiN2I3ZWMzOWFiZTNmODZmMmEifQ=="/>
  </w:docVars>
  <w:rsids>
    <w:rsidRoot w:val="715E1D3F"/>
    <w:rsid w:val="05F97E21"/>
    <w:rsid w:val="142B0848"/>
    <w:rsid w:val="1C2E3928"/>
    <w:rsid w:val="1DCB6BF8"/>
    <w:rsid w:val="21076199"/>
    <w:rsid w:val="3E151A9D"/>
    <w:rsid w:val="4BA12BC2"/>
    <w:rsid w:val="531E7C94"/>
    <w:rsid w:val="56CF769F"/>
    <w:rsid w:val="70C25D8B"/>
    <w:rsid w:val="715E1D3F"/>
    <w:rsid w:val="71C9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1395</Words>
  <Characters>1442</Characters>
  <Lines>0</Lines>
  <Paragraphs>0</Paragraphs>
  <TotalTime>39</TotalTime>
  <ScaleCrop>false</ScaleCrop>
  <LinksUpToDate>false</LinksUpToDate>
  <CharactersWithSpaces>1454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2022-08-29T04:57:00Z</dcterms:created>
  <dc:creator>Administrator</dc:creator>
  <cp:lastModifiedBy>Administrator</cp:lastModifiedBy>
  <dcterms:modified xsi:type="dcterms:W3CDTF">2023-11-28T08:02:01Z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C240DB433E9048DB97F480ED2DA662BC</vt:lpwstr>
  </property>
</Properties>
</file>