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谈儿童视角下研究性学习选题指导的三个阶段</w:t>
      </w:r>
    </w:p>
    <w:p>
      <w:pPr>
        <w:spacing w:line="360" w:lineRule="auto"/>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常州市虹景小学  高卫超</w:t>
      </w:r>
    </w:p>
    <w:p>
      <w:pPr>
        <w:spacing w:line="360" w:lineRule="auto"/>
        <w:ind w:firstLine="482" w:firstLineChars="200"/>
        <w:jc w:val="both"/>
        <w:rPr>
          <w:rFonts w:hint="default" w:ascii="楷体" w:hAnsi="楷体" w:eastAsia="黑体" w:cs="楷体"/>
          <w:sz w:val="24"/>
          <w:szCs w:val="24"/>
          <w:lang w:val="en-US" w:eastAsia="zh-CN"/>
        </w:rPr>
      </w:pPr>
      <w:r>
        <w:rPr>
          <w:rFonts w:hint="eastAsia" w:ascii="黑体" w:hAnsi="黑体" w:eastAsia="黑体"/>
          <w:b/>
          <w:sz w:val="24"/>
          <w:szCs w:val="24"/>
        </w:rPr>
        <w:t>摘要：</w:t>
      </w:r>
      <w:r>
        <w:rPr>
          <w:rFonts w:hint="eastAsia" w:ascii="楷体" w:hAnsi="楷体" w:eastAsia="楷体" w:cs="楷体"/>
          <w:sz w:val="24"/>
          <w:szCs w:val="24"/>
          <w:lang w:val="en-US" w:eastAsia="zh-CN"/>
        </w:rPr>
        <w:t>选题是研究性学习的起点，关系整个活动的效果。本文从儿童视角出发，提出研究性学习选题指导的三个阶段：建“圈”，让学生有得选；破“圈”，指导学生学会选；出“圈”，指导学生选得好，旨在充分发挥学生的主体性，培养学生的创新精神和实践能力。</w:t>
      </w:r>
    </w:p>
    <w:p>
      <w:pPr>
        <w:spacing w:line="360" w:lineRule="auto"/>
        <w:ind w:firstLine="482" w:firstLineChars="200"/>
        <w:rPr>
          <w:rFonts w:hint="default" w:ascii="楷体" w:hAnsi="楷体" w:eastAsia="楷体" w:cs="楷体"/>
          <w:sz w:val="24"/>
          <w:szCs w:val="24"/>
          <w:lang w:val="en-US" w:eastAsia="zh-CN"/>
        </w:rPr>
      </w:pPr>
      <w:r>
        <w:rPr>
          <w:rFonts w:hint="eastAsia" w:ascii="黑体" w:hAnsi="黑体" w:eastAsia="黑体"/>
          <w:b/>
          <w:sz w:val="24"/>
          <w:szCs w:val="24"/>
        </w:rPr>
        <w:t>关键词：</w:t>
      </w:r>
      <w:r>
        <w:rPr>
          <w:rFonts w:hint="eastAsia" w:ascii="楷体" w:hAnsi="楷体" w:eastAsia="楷体" w:cs="楷体"/>
          <w:sz w:val="24"/>
          <w:szCs w:val="24"/>
          <w:lang w:val="en-US" w:eastAsia="zh-CN"/>
        </w:rPr>
        <w:t>儿童视角</w:t>
      </w:r>
      <w:r>
        <w:rPr>
          <w:rFonts w:hint="eastAsia" w:ascii="楷体" w:hAnsi="楷体" w:eastAsia="楷体" w:cs="楷体"/>
          <w:sz w:val="24"/>
          <w:szCs w:val="24"/>
        </w:rPr>
        <w:t>；</w:t>
      </w:r>
      <w:r>
        <w:rPr>
          <w:rFonts w:hint="eastAsia" w:ascii="楷体" w:hAnsi="楷体" w:eastAsia="楷体" w:cs="楷体"/>
          <w:sz w:val="24"/>
          <w:szCs w:val="24"/>
          <w:lang w:val="en-US" w:eastAsia="zh-CN"/>
        </w:rPr>
        <w:t>研究性学习</w:t>
      </w:r>
      <w:r>
        <w:rPr>
          <w:rFonts w:hint="eastAsia" w:ascii="楷体" w:hAnsi="楷体" w:eastAsia="楷体" w:cs="楷体"/>
          <w:sz w:val="24"/>
          <w:szCs w:val="24"/>
        </w:rPr>
        <w:t>；</w:t>
      </w:r>
      <w:r>
        <w:rPr>
          <w:rFonts w:hint="eastAsia" w:ascii="楷体" w:hAnsi="楷体" w:eastAsia="楷体" w:cs="楷体"/>
          <w:sz w:val="24"/>
          <w:szCs w:val="24"/>
          <w:lang w:val="en-US" w:eastAsia="zh-CN"/>
        </w:rPr>
        <w:t>选题指导</w:t>
      </w:r>
    </w:p>
    <w:p>
      <w:pPr>
        <w:spacing w:line="360" w:lineRule="auto"/>
        <w:ind w:firstLine="480" w:firstLineChars="200"/>
        <w:rPr>
          <w:rFonts w:hint="default"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研究性学习既是综合实践活动中最为重要的学习方式，也是一门独立的课程形态。然而，当下学生的研究性学习浅层化、单一化、教师替代化现象比较严重。造成这一现象一是因为教师缺乏挖掘地方和校本资源的意识，或是在挖掘资源时用自己的思考代替了学生思考，一是因为教师不会指导学生从自身生活出发，依据自身的体验与认知，提出真问题，转化为主题。二者合二为一，就是教师在开展研究性学习选题指导时缺乏“儿童视角”。</w:t>
      </w:r>
    </w:p>
    <w:p>
      <w:pPr>
        <w:spacing w:line="360" w:lineRule="auto"/>
        <w:ind w:firstLine="480" w:firstLineChars="200"/>
        <w:rPr>
          <w:rFonts w:hint="default"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何为“儿童视角”？“儿童视角”一是指儿童作为主体观察问题，对相关事物的体验和想法。二是指教师，用儿童的眼光去观察问题，思考问题。儿童视角缺乏，学生自然参与的积极性不高，研究的内容单一，研究的深度缺乏。那么，从儿童视角出发，教师究竟该如何指导学生进行研究性学习选题呢？</w:t>
      </w:r>
    </w:p>
    <w:p>
      <w:pPr>
        <w:spacing w:line="360" w:lineRule="auto"/>
        <w:ind w:firstLine="482" w:firstLineChars="200"/>
        <w:rPr>
          <w:rFonts w:hint="eastAsia"/>
          <w:b/>
          <w:bCs/>
          <w:sz w:val="24"/>
          <w:szCs w:val="24"/>
          <w:lang w:val="en-US" w:eastAsia="zh-CN"/>
        </w:rPr>
      </w:pPr>
      <w:r>
        <w:rPr>
          <w:rFonts w:hint="eastAsia"/>
          <w:b/>
          <w:bCs/>
          <w:sz w:val="24"/>
          <w:szCs w:val="24"/>
          <w:lang w:val="en-US" w:eastAsia="zh-CN"/>
        </w:rPr>
        <w:t>一、建“圈”，让学生有得选</w:t>
      </w:r>
    </w:p>
    <w:p>
      <w:pPr>
        <w:spacing w:line="360" w:lineRule="auto"/>
        <w:ind w:firstLine="480" w:firstLineChars="200"/>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三、四年级是开展研究性学习的起步阶段，学生对于什么是主题本就不清晰，更谈不上自己确定一个主题，开展研究。此时，教师可以建立学生研究性学习的“300米资源圈”。所谓“300米资源圈”，是指以学生所在学校为中心，300米以内的适合学生开展研究性学习资源的总和，涵盖实体店、公园、社区、学校、公交站台等。</w:t>
      </w:r>
    </w:p>
    <w:p>
      <w:pPr>
        <w:spacing w:line="360" w:lineRule="auto"/>
        <w:ind w:firstLine="482" w:firstLineChars="200"/>
        <w:rPr>
          <w:rFonts w:hint="default" w:ascii="宋体" w:hAnsi="宋体" w:eastAsia="宋体" w:cs="宋体"/>
          <w:b/>
          <w:bCs/>
          <w:sz w:val="24"/>
          <w:szCs w:val="24"/>
          <w:shd w:val="clear" w:color="auto" w:fill="FFFFFF"/>
          <w:lang w:val="en-US" w:eastAsia="zh-CN"/>
        </w:rPr>
      </w:pPr>
      <w:r>
        <w:rPr>
          <w:rFonts w:hint="eastAsia" w:ascii="宋体" w:hAnsi="宋体" w:eastAsia="宋体" w:cs="宋体"/>
          <w:b/>
          <w:bCs/>
          <w:sz w:val="24"/>
          <w:szCs w:val="24"/>
          <w:shd w:val="clear" w:color="auto" w:fill="FFFFFF"/>
          <w:lang w:val="en-US" w:eastAsia="zh-CN"/>
        </w:rPr>
        <w:t>（一）搜集资源，发挥学生主人翁意识</w:t>
      </w:r>
    </w:p>
    <w:p>
      <w:pPr>
        <w:spacing w:line="360" w:lineRule="auto"/>
        <w:ind w:firstLine="480" w:firstLineChars="200"/>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搜集资源是建立“300米资源圈”的第一步，教师应当充分发挥学生的主人翁意识，让学生充分参与其中。由于绝大多数学生的家住在学校的附近，教师可以按照大致的东南西北顺序，指导学生在回家的过程中关注实体店、公园、社区等，把它们逐一记录下来，标注在自己回家的路线中。</w:t>
      </w:r>
    </w:p>
    <w:p>
      <w:pPr>
        <w:spacing w:line="360" w:lineRule="auto"/>
        <w:ind w:firstLine="480" w:firstLineChars="200"/>
        <w:rPr>
          <w:rFonts w:hint="eastAsia" w:ascii="宋体" w:hAnsi="宋体" w:eastAsia="宋体" w:cs="宋体"/>
          <w:b/>
          <w:bCs/>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如，住在红东的孩子们就关注到路口处生意异常火爆的海鲜小馄饨店，住在水晶城的就关注到隔壁的虹景中学等。</w:t>
      </w:r>
    </w:p>
    <w:p>
      <w:pPr>
        <w:spacing w:line="360" w:lineRule="auto"/>
        <w:ind w:firstLine="482" w:firstLineChars="200"/>
        <w:rPr>
          <w:rFonts w:hint="eastAsia" w:ascii="宋体" w:hAnsi="宋体" w:eastAsia="宋体" w:cs="宋体"/>
          <w:b/>
          <w:bCs/>
          <w:sz w:val="24"/>
          <w:szCs w:val="24"/>
          <w:shd w:val="clear" w:color="auto" w:fill="FFFFFF"/>
          <w:lang w:val="en-US" w:eastAsia="zh-CN"/>
        </w:rPr>
      </w:pPr>
      <w:r>
        <w:rPr>
          <w:rFonts w:hint="eastAsia" w:ascii="宋体" w:hAnsi="宋体" w:eastAsia="宋体" w:cs="宋体"/>
          <w:b/>
          <w:bCs/>
          <w:sz w:val="24"/>
          <w:szCs w:val="24"/>
          <w:shd w:val="clear" w:color="auto" w:fill="FFFFFF"/>
          <w:lang w:val="en-US" w:eastAsia="zh-CN"/>
        </w:rPr>
        <w:t>（二）筛选资源，彰显学生主体地位</w:t>
      </w:r>
    </w:p>
    <w:p>
      <w:pPr>
        <w:spacing w:line="360" w:lineRule="auto"/>
        <w:ind w:firstLine="480" w:firstLineChars="200"/>
        <w:rPr>
          <w:rFonts w:hint="eastAsia" w:ascii="宋体" w:hAnsi="宋体" w:eastAsia="宋体" w:cs="宋体"/>
          <w:b/>
          <w:bCs/>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面对学生搜集的五花八门的资源，教师需要指导学生对资源进行一定的筛选。在这个过程中，教师不能完全代替学生选择一些自认为比较好的、适合学生后续开展活动的资源，也不能放任学生毫无原则、随心随性地进行选择。因此，需要建立如下筛选标准：</w:t>
      </w:r>
    </w:p>
    <w:p>
      <w:pPr>
        <w:spacing w:line="360" w:lineRule="auto"/>
        <w:ind w:firstLine="482" w:firstLineChars="200"/>
        <w:rPr>
          <w:rFonts w:hint="eastAsia" w:ascii="宋体" w:hAnsi="宋体" w:eastAsia="宋体" w:cs="宋体"/>
          <w:sz w:val="24"/>
          <w:szCs w:val="24"/>
          <w:shd w:val="clear" w:color="auto" w:fill="FFFFFF"/>
          <w:lang w:val="en-US" w:eastAsia="zh-CN"/>
        </w:rPr>
      </w:pPr>
      <w:r>
        <w:rPr>
          <w:rFonts w:hint="eastAsia" w:ascii="宋体" w:hAnsi="宋体" w:eastAsia="宋体" w:cs="宋体"/>
          <w:b/>
          <w:bCs/>
          <w:sz w:val="24"/>
          <w:szCs w:val="24"/>
          <w:shd w:val="clear" w:color="auto" w:fill="FFFFFF"/>
          <w:lang w:val="en-US" w:eastAsia="zh-CN"/>
        </w:rPr>
        <w:t>1.感兴趣。</w:t>
      </w:r>
      <w:r>
        <w:rPr>
          <w:rFonts w:hint="eastAsia" w:ascii="宋体" w:hAnsi="宋体" w:eastAsia="宋体" w:cs="宋体"/>
          <w:sz w:val="24"/>
          <w:szCs w:val="24"/>
          <w:shd w:val="clear" w:color="auto" w:fill="FFFFFF"/>
          <w:lang w:val="en-US" w:eastAsia="zh-CN"/>
        </w:rPr>
        <w:t>“兴趣是最好的老师”，要想学生后续能够主动开展研究，还是需要尊重学生的兴趣选择，这样学生才会产生探究的想法，拥有克服困难的勇气，才能够让研究性学习持续不断的开展下去。</w:t>
      </w:r>
    </w:p>
    <w:p>
      <w:pPr>
        <w:spacing w:line="360" w:lineRule="auto"/>
        <w:ind w:firstLine="482" w:firstLineChars="200"/>
        <w:rPr>
          <w:rFonts w:hint="eastAsia" w:ascii="宋体" w:hAnsi="宋体" w:eastAsia="宋体" w:cs="宋体"/>
          <w:sz w:val="24"/>
          <w:szCs w:val="24"/>
          <w:shd w:val="clear" w:color="auto" w:fill="FFFFFF"/>
          <w:lang w:val="en-US" w:eastAsia="zh-CN"/>
        </w:rPr>
      </w:pPr>
      <w:r>
        <w:rPr>
          <w:rFonts w:hint="eastAsia" w:ascii="宋体" w:hAnsi="宋体" w:eastAsia="宋体" w:cs="宋体"/>
          <w:b/>
          <w:bCs/>
          <w:sz w:val="24"/>
          <w:szCs w:val="24"/>
          <w:shd w:val="clear" w:color="auto" w:fill="FFFFFF"/>
          <w:lang w:val="en-US" w:eastAsia="zh-CN"/>
        </w:rPr>
        <w:t>2.多维度。</w:t>
      </w:r>
      <w:r>
        <w:rPr>
          <w:rFonts w:hint="eastAsia" w:ascii="宋体" w:hAnsi="宋体" w:eastAsia="宋体" w:cs="宋体"/>
          <w:sz w:val="24"/>
          <w:szCs w:val="24"/>
          <w:shd w:val="clear" w:color="auto" w:fill="FFFFFF"/>
          <w:lang w:val="en-US" w:eastAsia="zh-CN"/>
        </w:rPr>
        <w:t>多维度的资源能够丰富学生研究性学习的广度，因此，教师在指导学生筛选资源时还应兼顾到不同资源的类型，如既能关注到饮食方面餐饮小吃资源，又能关注到出行方面的共享单车、BRT等交通资源。</w:t>
      </w:r>
    </w:p>
    <w:p>
      <w:pPr>
        <w:spacing w:line="360" w:lineRule="auto"/>
        <w:ind w:firstLine="482" w:firstLineChars="200"/>
        <w:rPr>
          <w:rFonts w:hint="eastAsia" w:ascii="宋体" w:hAnsi="宋体" w:eastAsia="宋体" w:cs="宋体"/>
          <w:b/>
          <w:bCs/>
          <w:sz w:val="24"/>
          <w:szCs w:val="24"/>
          <w:shd w:val="clear" w:color="auto" w:fill="FFFFFF"/>
          <w:lang w:val="en-US" w:eastAsia="zh-CN"/>
        </w:rPr>
      </w:pPr>
      <w:r>
        <w:rPr>
          <w:rFonts w:hint="eastAsia" w:ascii="宋体" w:hAnsi="宋体" w:eastAsia="宋体" w:cs="宋体"/>
          <w:b/>
          <w:bCs/>
          <w:sz w:val="24"/>
          <w:szCs w:val="24"/>
          <w:shd w:val="clear" w:color="auto" w:fill="FFFFFF"/>
          <w:lang w:val="en-US" w:eastAsia="zh-CN"/>
        </w:rPr>
        <w:t>3.有特色。</w:t>
      </w:r>
      <w:r>
        <w:rPr>
          <w:rFonts w:hint="eastAsia" w:ascii="宋体" w:hAnsi="宋体" w:eastAsia="宋体" w:cs="宋体"/>
          <w:sz w:val="24"/>
          <w:szCs w:val="24"/>
          <w:shd w:val="clear" w:color="auto" w:fill="FFFFFF"/>
          <w:lang w:val="en-US" w:eastAsia="zh-CN"/>
        </w:rPr>
        <w:t>有特色的资源能够拓宽学生研究性学习的深度，能够让研究性学习烙上专属的印记。如我校对面的翠竹公园，隔壁的虹景中学等独一无二的资源，亦或是路口处生意异常火爆的海鲜小馄饨店，正在改造的老小区--虹景花园。</w:t>
      </w:r>
    </w:p>
    <w:p>
      <w:pPr>
        <w:numPr>
          <w:ilvl w:val="0"/>
          <w:numId w:val="0"/>
        </w:numPr>
        <w:spacing w:line="360" w:lineRule="auto"/>
        <w:ind w:firstLine="482" w:firstLineChars="200"/>
        <w:rPr>
          <w:rFonts w:hint="default" w:ascii="宋体" w:hAnsi="宋体" w:eastAsia="宋体" w:cs="宋体"/>
          <w:b/>
          <w:bCs/>
          <w:sz w:val="24"/>
          <w:szCs w:val="24"/>
          <w:shd w:val="clear" w:color="auto" w:fill="FFFFFF"/>
          <w:lang w:val="en-US" w:eastAsia="zh-CN"/>
        </w:rPr>
      </w:pPr>
      <w:r>
        <w:rPr>
          <w:rFonts w:hint="eastAsia" w:ascii="宋体" w:hAnsi="宋体" w:eastAsia="宋体" w:cs="宋体"/>
          <w:b/>
          <w:bCs/>
          <w:sz w:val="24"/>
          <w:szCs w:val="24"/>
          <w:shd w:val="clear" w:color="auto" w:fill="FFFFFF"/>
          <w:lang w:val="en-US" w:eastAsia="zh-CN"/>
        </w:rPr>
        <w:t>（三）推荐主题，体现学生立场</w:t>
      </w:r>
    </w:p>
    <w:p>
      <w:pPr>
        <w:spacing w:line="360" w:lineRule="auto"/>
        <w:ind w:firstLine="480" w:firstLineChars="200"/>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在对资源进行筛选之后，需要对现有的资源的进行整合，并在此基础上确定、推荐一些可以实施的研究性学习主题，以利于学生进行挑选，开展研究。</w:t>
      </w:r>
    </w:p>
    <w:p>
      <w:pPr>
        <w:spacing w:line="360" w:lineRule="auto"/>
        <w:ind w:firstLine="480" w:firstLineChars="200"/>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如表所示，呈现的是我校学生研究性学习的300米资源圈：</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楷体" w:hAnsi="楷体" w:eastAsia="楷体" w:cs="楷体"/>
          <w:b/>
          <w:bCs/>
          <w:sz w:val="21"/>
          <w:szCs w:val="21"/>
          <w:lang w:val="en-US" w:eastAsia="zh-CN"/>
        </w:rPr>
      </w:pPr>
      <w:r>
        <w:rPr>
          <w:rFonts w:hint="eastAsia" w:ascii="楷体" w:hAnsi="楷体" w:eastAsia="楷体" w:cs="楷体"/>
          <w:b/>
          <w:bCs/>
          <w:sz w:val="21"/>
          <w:szCs w:val="21"/>
          <w:lang w:val="en-US" w:eastAsia="zh-CN"/>
        </w:rPr>
        <w:t>常州市虹景小学研究性学习300米资源圈一览表</w:t>
      </w:r>
    </w:p>
    <w:tbl>
      <w:tblPr>
        <w:tblStyle w:val="3"/>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5"/>
        <w:gridCol w:w="1763"/>
        <w:gridCol w:w="1515"/>
        <w:gridCol w:w="876"/>
        <w:gridCol w:w="1899"/>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bidi w:val="0"/>
              <w:rPr>
                <w:rFonts w:hint="eastAsia" w:ascii="楷体" w:hAnsi="楷体" w:eastAsia="楷体" w:cs="楷体"/>
                <w:lang w:val="en-US" w:eastAsia="zh-CN"/>
              </w:rPr>
            </w:pPr>
          </w:p>
        </w:tc>
        <w:tc>
          <w:tcPr>
            <w:tcW w:w="3278" w:type="dxa"/>
            <w:gridSpan w:val="2"/>
            <w:vAlign w:val="center"/>
          </w:tcPr>
          <w:p>
            <w:pPr>
              <w:bidi w:val="0"/>
              <w:jc w:val="center"/>
              <w:rPr>
                <w:rFonts w:hint="eastAsia" w:ascii="楷体" w:hAnsi="楷体" w:eastAsia="楷体" w:cs="楷体"/>
                <w:lang w:val="en-US" w:eastAsia="zh-CN"/>
              </w:rPr>
            </w:pPr>
            <w:r>
              <w:rPr>
                <w:rFonts w:hint="eastAsia" w:ascii="楷体" w:hAnsi="楷体" w:eastAsia="楷体" w:cs="楷体"/>
                <w:b/>
                <w:bCs/>
                <w:lang w:val="en-US" w:eastAsia="zh-CN"/>
              </w:rPr>
              <w:t>推荐资源</w:t>
            </w:r>
          </w:p>
        </w:tc>
        <w:tc>
          <w:tcPr>
            <w:tcW w:w="4807" w:type="dxa"/>
            <w:gridSpan w:val="3"/>
            <w:vAlign w:val="center"/>
          </w:tcPr>
          <w:p>
            <w:pPr>
              <w:bidi w:val="0"/>
              <w:jc w:val="center"/>
              <w:rPr>
                <w:rFonts w:hint="eastAsia" w:ascii="楷体" w:hAnsi="楷体" w:eastAsia="楷体" w:cs="楷体"/>
                <w:lang w:val="en-US" w:eastAsia="zh-CN"/>
              </w:rPr>
            </w:pPr>
            <w:r>
              <w:rPr>
                <w:rFonts w:hint="eastAsia" w:ascii="楷体" w:hAnsi="楷体" w:eastAsia="楷体" w:cs="楷体"/>
                <w:b/>
                <w:bCs/>
                <w:lang w:val="en-US" w:eastAsia="zh-CN"/>
              </w:rPr>
              <w:t>推荐主题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bidi w:val="0"/>
              <w:jc w:val="both"/>
              <w:rPr>
                <w:rFonts w:hint="eastAsia" w:ascii="楷体" w:hAnsi="楷体" w:eastAsia="楷体" w:cs="楷体"/>
                <w:lang w:val="en-US" w:eastAsia="zh-CN"/>
              </w:rPr>
            </w:pPr>
            <w:r>
              <w:rPr>
                <w:rFonts w:hint="eastAsia" w:ascii="楷体" w:hAnsi="楷体" w:eastAsia="楷体" w:cs="楷体"/>
                <w:lang w:val="en-US" w:eastAsia="zh-CN"/>
              </w:rPr>
              <w:t>虹景小学</w:t>
            </w:r>
          </w:p>
        </w:tc>
        <w:tc>
          <w:tcPr>
            <w:tcW w:w="3278" w:type="dxa"/>
            <w:gridSpan w:val="2"/>
            <w:vAlign w:val="center"/>
          </w:tcPr>
          <w:p>
            <w:pPr>
              <w:bidi w:val="0"/>
              <w:jc w:val="center"/>
              <w:rPr>
                <w:rFonts w:hint="eastAsia" w:ascii="楷体" w:hAnsi="楷体" w:eastAsia="楷体" w:cs="楷体"/>
                <w:lang w:val="en-US" w:eastAsia="zh-CN"/>
              </w:rPr>
            </w:pPr>
            <w:r>
              <w:rPr>
                <w:rFonts w:hint="eastAsia" w:ascii="楷体" w:hAnsi="楷体" w:eastAsia="楷体" w:cs="楷体"/>
                <w:lang w:val="en-US" w:eastAsia="zh-CN"/>
              </w:rPr>
              <w:t>校园花木（特色）</w:t>
            </w:r>
          </w:p>
          <w:p>
            <w:pPr>
              <w:bidi w:val="0"/>
              <w:jc w:val="center"/>
              <w:rPr>
                <w:rFonts w:hint="eastAsia" w:ascii="楷体" w:hAnsi="楷体" w:eastAsia="楷体" w:cs="楷体"/>
                <w:lang w:val="en-US" w:eastAsia="zh-CN"/>
              </w:rPr>
            </w:pPr>
            <w:r>
              <w:rPr>
                <w:rFonts w:hint="eastAsia" w:ascii="楷体" w:hAnsi="楷体" w:eastAsia="楷体" w:cs="楷体"/>
                <w:lang w:val="en-US" w:eastAsia="zh-CN"/>
              </w:rPr>
              <w:t>校园场馆（校园十二景）</w:t>
            </w:r>
          </w:p>
        </w:tc>
        <w:tc>
          <w:tcPr>
            <w:tcW w:w="4807" w:type="dxa"/>
            <w:gridSpan w:val="3"/>
            <w:vAlign w:val="center"/>
          </w:tcPr>
          <w:p>
            <w:pPr>
              <w:bidi w:val="0"/>
              <w:ind w:firstLine="1050" w:firstLineChars="500"/>
              <w:rPr>
                <w:rFonts w:hint="eastAsia" w:ascii="楷体" w:hAnsi="楷体" w:eastAsia="楷体" w:cs="楷体"/>
                <w:lang w:val="en-US" w:eastAsia="zh-CN"/>
              </w:rPr>
            </w:pPr>
            <w:r>
              <w:rPr>
                <w:rFonts w:hint="eastAsia" w:ascii="楷体" w:hAnsi="楷体" w:eastAsia="楷体" w:cs="楷体"/>
                <w:lang w:val="en-US" w:eastAsia="zh-CN"/>
              </w:rPr>
              <w:t>我是校园小导游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125" w:type="dxa"/>
            <w:vAlign w:val="center"/>
          </w:tcPr>
          <w:p>
            <w:pPr>
              <w:bidi w:val="0"/>
              <w:jc w:val="center"/>
              <w:rPr>
                <w:rFonts w:hint="eastAsia" w:ascii="楷体" w:hAnsi="楷体" w:eastAsia="楷体" w:cs="楷体"/>
                <w:b/>
                <w:bCs/>
                <w:lang w:val="en-US" w:eastAsia="zh-CN"/>
              </w:rPr>
            </w:pPr>
            <w:r>
              <w:rPr>
                <w:rFonts w:hint="eastAsia" w:ascii="楷体" w:hAnsi="楷体" w:eastAsia="楷体" w:cs="楷体"/>
                <w:b/>
                <w:bCs/>
                <w:lang w:val="en-US" w:eastAsia="zh-CN"/>
              </w:rPr>
              <w:t>西边</w:t>
            </w:r>
          </w:p>
        </w:tc>
        <w:tc>
          <w:tcPr>
            <w:tcW w:w="1763" w:type="dxa"/>
            <w:vAlign w:val="center"/>
          </w:tcPr>
          <w:p>
            <w:pPr>
              <w:bidi w:val="0"/>
              <w:jc w:val="center"/>
              <w:rPr>
                <w:rFonts w:hint="eastAsia" w:ascii="楷体" w:hAnsi="楷体" w:eastAsia="楷体" w:cs="楷体"/>
                <w:b/>
                <w:bCs/>
                <w:lang w:val="en-US" w:eastAsia="zh-CN"/>
              </w:rPr>
            </w:pPr>
            <w:r>
              <w:rPr>
                <w:rFonts w:hint="eastAsia" w:ascii="楷体" w:hAnsi="楷体" w:eastAsia="楷体" w:cs="楷体"/>
                <w:b/>
                <w:bCs/>
                <w:lang w:val="en-US" w:eastAsia="zh-CN"/>
              </w:rPr>
              <w:t>推荐资源</w:t>
            </w:r>
          </w:p>
        </w:tc>
        <w:tc>
          <w:tcPr>
            <w:tcW w:w="1515" w:type="dxa"/>
            <w:vAlign w:val="center"/>
          </w:tcPr>
          <w:p>
            <w:pPr>
              <w:bidi w:val="0"/>
              <w:jc w:val="center"/>
              <w:rPr>
                <w:rFonts w:hint="eastAsia" w:ascii="楷体" w:hAnsi="楷体" w:eastAsia="楷体" w:cs="楷体"/>
                <w:b/>
                <w:bCs/>
                <w:lang w:val="en-US" w:eastAsia="zh-CN"/>
              </w:rPr>
            </w:pPr>
            <w:r>
              <w:rPr>
                <w:rFonts w:hint="eastAsia" w:ascii="楷体" w:hAnsi="楷体" w:eastAsia="楷体" w:cs="楷体"/>
                <w:b/>
                <w:bCs/>
                <w:lang w:val="en-US" w:eastAsia="zh-CN"/>
              </w:rPr>
              <w:t>推荐主题</w:t>
            </w:r>
          </w:p>
        </w:tc>
        <w:tc>
          <w:tcPr>
            <w:tcW w:w="876" w:type="dxa"/>
            <w:vAlign w:val="center"/>
          </w:tcPr>
          <w:p>
            <w:pPr>
              <w:bidi w:val="0"/>
              <w:jc w:val="center"/>
              <w:rPr>
                <w:rFonts w:hint="eastAsia" w:ascii="楷体" w:hAnsi="楷体" w:eastAsia="楷体" w:cs="楷体"/>
                <w:b/>
                <w:bCs/>
                <w:lang w:val="en-US" w:eastAsia="zh-CN"/>
              </w:rPr>
            </w:pPr>
            <w:r>
              <w:rPr>
                <w:rFonts w:hint="eastAsia" w:ascii="楷体" w:hAnsi="楷体" w:eastAsia="楷体" w:cs="楷体"/>
                <w:b/>
                <w:bCs/>
                <w:lang w:val="en-US" w:eastAsia="zh-CN"/>
              </w:rPr>
              <w:t>北边</w:t>
            </w:r>
          </w:p>
        </w:tc>
        <w:tc>
          <w:tcPr>
            <w:tcW w:w="1899" w:type="dxa"/>
            <w:vAlign w:val="center"/>
          </w:tcPr>
          <w:p>
            <w:pPr>
              <w:bidi w:val="0"/>
              <w:jc w:val="center"/>
              <w:rPr>
                <w:rFonts w:hint="eastAsia" w:ascii="楷体" w:hAnsi="楷体" w:eastAsia="楷体" w:cs="楷体"/>
                <w:b/>
                <w:bCs/>
                <w:lang w:val="en-US" w:eastAsia="zh-CN"/>
              </w:rPr>
            </w:pPr>
            <w:r>
              <w:rPr>
                <w:rFonts w:hint="eastAsia" w:ascii="楷体" w:hAnsi="楷体" w:eastAsia="楷体" w:cs="楷体"/>
                <w:b/>
                <w:bCs/>
                <w:lang w:val="en-US" w:eastAsia="zh-CN"/>
              </w:rPr>
              <w:t>推荐资源</w:t>
            </w:r>
          </w:p>
        </w:tc>
        <w:tc>
          <w:tcPr>
            <w:tcW w:w="2032" w:type="dxa"/>
            <w:vAlign w:val="center"/>
          </w:tcPr>
          <w:p>
            <w:pPr>
              <w:bidi w:val="0"/>
              <w:jc w:val="center"/>
              <w:rPr>
                <w:rFonts w:hint="eastAsia" w:ascii="楷体" w:hAnsi="楷体" w:eastAsia="楷体" w:cs="楷体"/>
                <w:b/>
                <w:bCs/>
                <w:lang w:val="en-US" w:eastAsia="zh-CN"/>
              </w:rPr>
            </w:pPr>
            <w:r>
              <w:rPr>
                <w:rFonts w:hint="eastAsia" w:ascii="楷体" w:hAnsi="楷体" w:eastAsia="楷体" w:cs="楷体"/>
                <w:b/>
                <w:bCs/>
                <w:lang w:val="en-US" w:eastAsia="zh-CN"/>
              </w:rPr>
              <w:t>推荐主题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Merge w:val="restart"/>
            <w:vAlign w:val="center"/>
          </w:tcPr>
          <w:p>
            <w:pPr>
              <w:bidi w:val="0"/>
              <w:jc w:val="center"/>
              <w:rPr>
                <w:rFonts w:hint="eastAsia" w:ascii="楷体" w:hAnsi="楷体" w:eastAsia="楷体" w:cs="楷体"/>
                <w:lang w:val="en-US" w:eastAsia="zh-CN"/>
              </w:rPr>
            </w:pPr>
            <w:r>
              <w:rPr>
                <w:rFonts w:hint="eastAsia" w:ascii="楷体" w:hAnsi="楷体" w:eastAsia="楷体" w:cs="楷体"/>
                <w:lang w:val="en-US" w:eastAsia="zh-CN"/>
              </w:rPr>
              <w:t>食</w:t>
            </w:r>
          </w:p>
        </w:tc>
        <w:tc>
          <w:tcPr>
            <w:tcW w:w="1763" w:type="dxa"/>
            <w:vMerge w:val="restart"/>
            <w:vAlign w:val="center"/>
          </w:tcPr>
          <w:p>
            <w:pPr>
              <w:bidi w:val="0"/>
              <w:jc w:val="center"/>
              <w:rPr>
                <w:rFonts w:hint="eastAsia" w:ascii="楷体" w:hAnsi="楷体" w:eastAsia="楷体" w:cs="楷体"/>
                <w:lang w:val="en-US" w:eastAsia="zh-CN"/>
              </w:rPr>
            </w:pPr>
            <w:r>
              <w:rPr>
                <w:rFonts w:hint="eastAsia" w:ascii="楷体" w:hAnsi="楷体" w:eastAsia="楷体" w:cs="楷体"/>
                <w:color w:val="auto"/>
                <w:sz w:val="21"/>
                <w:szCs w:val="21"/>
                <w:vertAlign w:val="baseline"/>
                <w:lang w:val="en-US" w:eastAsia="zh-CN"/>
              </w:rPr>
              <w:t>金丝利零售</w:t>
            </w:r>
          </w:p>
        </w:tc>
        <w:tc>
          <w:tcPr>
            <w:tcW w:w="1515" w:type="dxa"/>
            <w:vMerge w:val="restart"/>
            <w:vAlign w:val="center"/>
          </w:tcPr>
          <w:p>
            <w:pPr>
              <w:bidi w:val="0"/>
              <w:jc w:val="center"/>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零食的秘密</w:t>
            </w:r>
          </w:p>
        </w:tc>
        <w:tc>
          <w:tcPr>
            <w:tcW w:w="876" w:type="dxa"/>
            <w:vAlign w:val="center"/>
          </w:tcPr>
          <w:p>
            <w:pPr>
              <w:bidi w:val="0"/>
              <w:jc w:val="center"/>
              <w:rPr>
                <w:rFonts w:hint="eastAsia" w:ascii="楷体" w:hAnsi="楷体" w:eastAsia="楷体" w:cs="楷体"/>
                <w:lang w:val="en-US" w:eastAsia="zh-CN"/>
              </w:rPr>
            </w:pPr>
            <w:r>
              <w:rPr>
                <w:rFonts w:hint="eastAsia" w:ascii="楷体" w:hAnsi="楷体" w:eastAsia="楷体" w:cs="楷体"/>
                <w:lang w:val="en-US" w:eastAsia="zh-CN"/>
              </w:rPr>
              <w:t>自然</w:t>
            </w:r>
          </w:p>
        </w:tc>
        <w:tc>
          <w:tcPr>
            <w:tcW w:w="1899" w:type="dxa"/>
            <w:vAlign w:val="center"/>
          </w:tcPr>
          <w:p>
            <w:pPr>
              <w:bidi w:val="0"/>
              <w:jc w:val="center"/>
              <w:rPr>
                <w:rFonts w:hint="eastAsia" w:ascii="楷体" w:hAnsi="楷体" w:eastAsia="楷体" w:cs="楷体"/>
                <w:lang w:val="en-US" w:eastAsia="zh-CN"/>
              </w:rPr>
            </w:pPr>
            <w:r>
              <w:rPr>
                <w:rFonts w:hint="eastAsia" w:ascii="楷体" w:hAnsi="楷体" w:eastAsia="楷体" w:cs="楷体"/>
                <w:b w:val="0"/>
                <w:bCs w:val="0"/>
                <w:color w:val="auto"/>
                <w:sz w:val="21"/>
                <w:szCs w:val="21"/>
                <w:u w:val="none"/>
                <w:vertAlign w:val="baseline"/>
                <w:lang w:val="en-US" w:eastAsia="zh-CN"/>
              </w:rPr>
              <w:t>翠竹公园</w:t>
            </w:r>
          </w:p>
        </w:tc>
        <w:tc>
          <w:tcPr>
            <w:tcW w:w="2032" w:type="dxa"/>
            <w:vAlign w:val="center"/>
          </w:tcPr>
          <w:p>
            <w:pPr>
              <w:bidi w:val="0"/>
              <w:jc w:val="center"/>
              <w:rPr>
                <w:rFonts w:hint="eastAsia" w:ascii="楷体" w:hAnsi="楷体" w:eastAsia="楷体" w:cs="楷体"/>
                <w:b w:val="0"/>
                <w:bCs w:val="0"/>
                <w:color w:val="auto"/>
                <w:sz w:val="21"/>
                <w:szCs w:val="21"/>
                <w:u w:val="none"/>
                <w:vertAlign w:val="baseline"/>
                <w:lang w:val="en-US" w:eastAsia="zh-CN"/>
              </w:rPr>
            </w:pPr>
            <w:r>
              <w:rPr>
                <w:rFonts w:hint="eastAsia" w:ascii="楷体" w:hAnsi="楷体" w:eastAsia="楷体" w:cs="楷体"/>
                <w:b w:val="0"/>
                <w:bCs w:val="0"/>
                <w:color w:val="auto"/>
                <w:sz w:val="21"/>
                <w:szCs w:val="21"/>
                <w:u w:val="none"/>
                <w:vertAlign w:val="baseline"/>
                <w:lang w:val="en-US" w:eastAsia="zh-CN"/>
              </w:rPr>
              <w:t>探秘翠竹公园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Merge w:val="continue"/>
            <w:vAlign w:val="center"/>
          </w:tcPr>
          <w:p>
            <w:pPr>
              <w:bidi w:val="0"/>
              <w:rPr>
                <w:rFonts w:hint="eastAsia" w:ascii="楷体" w:hAnsi="楷体" w:eastAsia="楷体" w:cs="楷体"/>
                <w:lang w:val="en-US" w:eastAsia="zh-CN"/>
              </w:rPr>
            </w:pPr>
          </w:p>
        </w:tc>
        <w:tc>
          <w:tcPr>
            <w:tcW w:w="1763" w:type="dxa"/>
            <w:vMerge w:val="continue"/>
            <w:vAlign w:val="center"/>
          </w:tcPr>
          <w:p>
            <w:pPr>
              <w:bidi w:val="0"/>
              <w:rPr>
                <w:rFonts w:hint="eastAsia" w:ascii="楷体" w:hAnsi="楷体" w:eastAsia="楷体" w:cs="楷体"/>
                <w:lang w:val="en-US" w:eastAsia="zh-CN"/>
              </w:rPr>
            </w:pPr>
          </w:p>
        </w:tc>
        <w:tc>
          <w:tcPr>
            <w:tcW w:w="1515" w:type="dxa"/>
            <w:vMerge w:val="continue"/>
            <w:vAlign w:val="center"/>
          </w:tcPr>
          <w:p>
            <w:pPr>
              <w:bidi w:val="0"/>
              <w:jc w:val="center"/>
              <w:rPr>
                <w:rFonts w:hint="eastAsia" w:ascii="楷体" w:hAnsi="楷体" w:eastAsia="楷体" w:cs="楷体"/>
                <w:color w:val="auto"/>
                <w:sz w:val="21"/>
                <w:szCs w:val="21"/>
                <w:vertAlign w:val="baseline"/>
                <w:lang w:val="en-US" w:eastAsia="zh-CN"/>
              </w:rPr>
            </w:pPr>
          </w:p>
        </w:tc>
        <w:tc>
          <w:tcPr>
            <w:tcW w:w="876" w:type="dxa"/>
            <w:vAlign w:val="center"/>
          </w:tcPr>
          <w:p>
            <w:pPr>
              <w:bidi w:val="0"/>
              <w:jc w:val="center"/>
              <w:rPr>
                <w:rFonts w:hint="eastAsia" w:ascii="楷体" w:hAnsi="楷体" w:eastAsia="楷体" w:cs="楷体"/>
                <w:lang w:val="en-US" w:eastAsia="zh-CN"/>
              </w:rPr>
            </w:pPr>
            <w:r>
              <w:rPr>
                <w:rFonts w:hint="eastAsia" w:ascii="楷体" w:hAnsi="楷体" w:eastAsia="楷体" w:cs="楷体"/>
                <w:lang w:val="en-US" w:eastAsia="zh-CN"/>
              </w:rPr>
              <w:t>住</w:t>
            </w:r>
          </w:p>
        </w:tc>
        <w:tc>
          <w:tcPr>
            <w:tcW w:w="1899" w:type="dxa"/>
            <w:vAlign w:val="center"/>
          </w:tcPr>
          <w:p>
            <w:pPr>
              <w:bidi w:val="0"/>
              <w:jc w:val="center"/>
              <w:rPr>
                <w:rFonts w:hint="eastAsia" w:ascii="楷体" w:hAnsi="楷体" w:eastAsia="楷体" w:cs="楷体"/>
                <w:lang w:val="en-US" w:eastAsia="zh-CN"/>
              </w:rPr>
            </w:pPr>
            <w:r>
              <w:rPr>
                <w:rFonts w:hint="eastAsia" w:ascii="楷体" w:hAnsi="楷体" w:eastAsia="楷体" w:cs="楷体"/>
                <w:b w:val="0"/>
                <w:bCs w:val="0"/>
                <w:color w:val="auto"/>
                <w:sz w:val="21"/>
                <w:szCs w:val="21"/>
                <w:u w:val="none"/>
                <w:vertAlign w:val="baseline"/>
                <w:lang w:val="en-US" w:eastAsia="zh-CN"/>
              </w:rPr>
              <w:t>凯旋城</w:t>
            </w:r>
          </w:p>
        </w:tc>
        <w:tc>
          <w:tcPr>
            <w:tcW w:w="2032" w:type="dxa"/>
            <w:vAlign w:val="center"/>
          </w:tcPr>
          <w:p>
            <w:pPr>
              <w:bidi w:val="0"/>
              <w:jc w:val="center"/>
              <w:rPr>
                <w:rFonts w:hint="eastAsia" w:ascii="楷体" w:hAnsi="楷体" w:eastAsia="楷体" w:cs="楷体"/>
                <w:b w:val="0"/>
                <w:bCs w:val="0"/>
                <w:color w:val="auto"/>
                <w:sz w:val="21"/>
                <w:szCs w:val="21"/>
                <w:u w:val="none"/>
                <w:vertAlign w:val="baseline"/>
                <w:lang w:val="en-US" w:eastAsia="zh-CN"/>
              </w:rPr>
            </w:pPr>
            <w:r>
              <w:rPr>
                <w:rFonts w:hint="eastAsia" w:ascii="楷体" w:hAnsi="楷体" w:eastAsia="楷体" w:cs="楷体"/>
                <w:b w:val="0"/>
                <w:bCs w:val="0"/>
                <w:color w:val="auto"/>
                <w:sz w:val="21"/>
                <w:szCs w:val="21"/>
                <w:u w:val="none"/>
                <w:vertAlign w:val="baseline"/>
                <w:lang w:val="en-US" w:eastAsia="zh-CN"/>
              </w:rPr>
              <w:t>社区垃圾分类的调查研究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Merge w:val="continue"/>
            <w:vAlign w:val="center"/>
          </w:tcPr>
          <w:p>
            <w:pPr>
              <w:bidi w:val="0"/>
              <w:rPr>
                <w:rFonts w:hint="eastAsia" w:ascii="楷体" w:hAnsi="楷体" w:eastAsia="楷体" w:cs="楷体"/>
                <w:lang w:val="en-US" w:eastAsia="zh-CN"/>
              </w:rPr>
            </w:pPr>
          </w:p>
        </w:tc>
        <w:tc>
          <w:tcPr>
            <w:tcW w:w="1763" w:type="dxa"/>
            <w:vAlign w:val="center"/>
          </w:tcPr>
          <w:p>
            <w:pPr>
              <w:bidi w:val="0"/>
              <w:jc w:val="center"/>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二愣子旋转</w:t>
            </w:r>
          </w:p>
          <w:p>
            <w:pPr>
              <w:bidi w:val="0"/>
              <w:jc w:val="center"/>
              <w:rPr>
                <w:rFonts w:hint="eastAsia" w:ascii="楷体" w:hAnsi="楷体" w:eastAsia="楷体" w:cs="楷体"/>
                <w:lang w:val="en-US" w:eastAsia="zh-CN"/>
              </w:rPr>
            </w:pPr>
            <w:r>
              <w:rPr>
                <w:rFonts w:hint="eastAsia" w:ascii="楷体" w:hAnsi="楷体" w:eastAsia="楷体" w:cs="楷体"/>
                <w:color w:val="auto"/>
                <w:sz w:val="21"/>
                <w:szCs w:val="21"/>
                <w:vertAlign w:val="baseline"/>
                <w:lang w:val="en-US" w:eastAsia="zh-CN"/>
              </w:rPr>
              <w:t>小火锅</w:t>
            </w:r>
          </w:p>
        </w:tc>
        <w:tc>
          <w:tcPr>
            <w:tcW w:w="1515" w:type="dxa"/>
            <w:vMerge w:val="restart"/>
            <w:vAlign w:val="center"/>
          </w:tcPr>
          <w:p>
            <w:pPr>
              <w:bidi w:val="0"/>
              <w:jc w:val="center"/>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校园周边特色小吃调查研究</w:t>
            </w:r>
          </w:p>
        </w:tc>
        <w:tc>
          <w:tcPr>
            <w:tcW w:w="876" w:type="dxa"/>
            <w:vMerge w:val="restart"/>
            <w:vAlign w:val="center"/>
          </w:tcPr>
          <w:p>
            <w:pPr>
              <w:bidi w:val="0"/>
              <w:jc w:val="center"/>
              <w:rPr>
                <w:rFonts w:hint="eastAsia" w:ascii="楷体" w:hAnsi="楷体" w:eastAsia="楷体" w:cs="楷体"/>
                <w:lang w:val="en-US" w:eastAsia="zh-CN"/>
              </w:rPr>
            </w:pPr>
            <w:r>
              <w:rPr>
                <w:rFonts w:hint="eastAsia" w:ascii="楷体" w:hAnsi="楷体" w:eastAsia="楷体" w:cs="楷体"/>
                <w:lang w:val="en-US" w:eastAsia="zh-CN"/>
              </w:rPr>
              <w:t>行</w:t>
            </w:r>
          </w:p>
        </w:tc>
        <w:tc>
          <w:tcPr>
            <w:tcW w:w="1899" w:type="dxa"/>
            <w:vAlign w:val="center"/>
          </w:tcPr>
          <w:p>
            <w:pPr>
              <w:bidi w:val="0"/>
              <w:jc w:val="center"/>
              <w:rPr>
                <w:rFonts w:hint="eastAsia" w:ascii="楷体" w:hAnsi="楷体" w:eastAsia="楷体" w:cs="楷体"/>
                <w:lang w:val="en-US" w:eastAsia="zh-CN"/>
              </w:rPr>
            </w:pPr>
            <w:r>
              <w:rPr>
                <w:rFonts w:hint="eastAsia" w:ascii="楷体" w:hAnsi="楷体" w:eastAsia="楷体" w:cs="楷体"/>
                <w:b w:val="0"/>
                <w:bCs w:val="0"/>
                <w:color w:val="auto"/>
                <w:sz w:val="21"/>
                <w:szCs w:val="21"/>
                <w:u w:val="none"/>
                <w:vertAlign w:val="baseline"/>
                <w:lang w:val="en-US" w:eastAsia="zh-CN"/>
              </w:rPr>
              <w:t>公交站台</w:t>
            </w:r>
          </w:p>
        </w:tc>
        <w:tc>
          <w:tcPr>
            <w:tcW w:w="2032" w:type="dxa"/>
            <w:vMerge w:val="restart"/>
            <w:vAlign w:val="center"/>
          </w:tcPr>
          <w:p>
            <w:pPr>
              <w:bidi w:val="0"/>
              <w:jc w:val="center"/>
              <w:rPr>
                <w:rFonts w:hint="eastAsia" w:ascii="楷体" w:hAnsi="楷体" w:eastAsia="楷体" w:cs="楷体"/>
                <w:b w:val="0"/>
                <w:bCs w:val="0"/>
                <w:color w:val="auto"/>
                <w:sz w:val="21"/>
                <w:szCs w:val="21"/>
                <w:u w:val="none"/>
                <w:vertAlign w:val="baseline"/>
                <w:lang w:val="en-US" w:eastAsia="zh-CN"/>
              </w:rPr>
            </w:pPr>
            <w:r>
              <w:rPr>
                <w:rFonts w:hint="eastAsia" w:ascii="楷体" w:hAnsi="楷体" w:eastAsia="楷体" w:cs="楷体"/>
                <w:b w:val="0"/>
                <w:bCs w:val="0"/>
                <w:color w:val="auto"/>
                <w:sz w:val="21"/>
                <w:szCs w:val="21"/>
                <w:u w:val="none"/>
                <w:vertAlign w:val="baseline"/>
                <w:lang w:val="en-US" w:eastAsia="zh-CN"/>
              </w:rPr>
              <w:t>常州交通的演变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Merge w:val="continue"/>
            <w:vAlign w:val="center"/>
          </w:tcPr>
          <w:p>
            <w:pPr>
              <w:bidi w:val="0"/>
              <w:rPr>
                <w:rFonts w:hint="eastAsia" w:ascii="楷体" w:hAnsi="楷体" w:eastAsia="楷体" w:cs="楷体"/>
                <w:lang w:val="en-US" w:eastAsia="zh-CN"/>
              </w:rPr>
            </w:pPr>
          </w:p>
        </w:tc>
        <w:tc>
          <w:tcPr>
            <w:tcW w:w="1763" w:type="dxa"/>
            <w:vAlign w:val="center"/>
          </w:tcPr>
          <w:p>
            <w:pPr>
              <w:bidi w:val="0"/>
              <w:jc w:val="center"/>
              <w:rPr>
                <w:rFonts w:hint="eastAsia" w:ascii="楷体" w:hAnsi="楷体" w:eastAsia="楷体" w:cs="楷体"/>
                <w:lang w:val="en-US" w:eastAsia="zh-CN"/>
              </w:rPr>
            </w:pPr>
            <w:r>
              <w:rPr>
                <w:rFonts w:hint="eastAsia" w:ascii="楷体" w:hAnsi="楷体" w:eastAsia="楷体" w:cs="楷体"/>
                <w:color w:val="auto"/>
                <w:sz w:val="21"/>
                <w:szCs w:val="21"/>
                <w:vertAlign w:val="baseline"/>
                <w:lang w:val="en-US" w:eastAsia="zh-CN"/>
              </w:rPr>
              <w:t>新疆羊肉串</w:t>
            </w:r>
          </w:p>
        </w:tc>
        <w:tc>
          <w:tcPr>
            <w:tcW w:w="1515" w:type="dxa"/>
            <w:vMerge w:val="continue"/>
            <w:vAlign w:val="center"/>
          </w:tcPr>
          <w:p>
            <w:pPr>
              <w:bidi w:val="0"/>
              <w:rPr>
                <w:rFonts w:hint="eastAsia" w:ascii="楷体" w:hAnsi="楷体" w:eastAsia="楷体" w:cs="楷体"/>
                <w:color w:val="auto"/>
                <w:sz w:val="21"/>
                <w:szCs w:val="21"/>
                <w:vertAlign w:val="baseline"/>
                <w:lang w:val="en-US" w:eastAsia="zh-CN"/>
              </w:rPr>
            </w:pPr>
          </w:p>
        </w:tc>
        <w:tc>
          <w:tcPr>
            <w:tcW w:w="876" w:type="dxa"/>
            <w:vMerge w:val="continue"/>
            <w:vAlign w:val="center"/>
          </w:tcPr>
          <w:p>
            <w:pPr>
              <w:bidi w:val="0"/>
              <w:rPr>
                <w:rFonts w:hint="eastAsia" w:ascii="楷体" w:hAnsi="楷体" w:eastAsia="楷体" w:cs="楷体"/>
                <w:lang w:val="en-US" w:eastAsia="zh-CN"/>
              </w:rPr>
            </w:pPr>
          </w:p>
        </w:tc>
        <w:tc>
          <w:tcPr>
            <w:tcW w:w="1899" w:type="dxa"/>
            <w:vAlign w:val="center"/>
          </w:tcPr>
          <w:p>
            <w:pPr>
              <w:bidi w:val="0"/>
              <w:jc w:val="center"/>
              <w:rPr>
                <w:rFonts w:hint="eastAsia" w:ascii="楷体" w:hAnsi="楷体" w:eastAsia="楷体" w:cs="楷体"/>
                <w:lang w:val="en-US" w:eastAsia="zh-CN"/>
              </w:rPr>
            </w:pPr>
            <w:r>
              <w:rPr>
                <w:rFonts w:hint="eastAsia" w:ascii="楷体" w:hAnsi="楷体" w:eastAsia="楷体" w:cs="楷体"/>
                <w:b w:val="0"/>
                <w:bCs w:val="0"/>
                <w:color w:val="auto"/>
                <w:sz w:val="21"/>
                <w:szCs w:val="21"/>
                <w:u w:val="none"/>
                <w:vertAlign w:val="baseline"/>
                <w:lang w:val="en-US" w:eastAsia="zh-CN"/>
              </w:rPr>
              <w:t>共享单车停靠点</w:t>
            </w:r>
          </w:p>
        </w:tc>
        <w:tc>
          <w:tcPr>
            <w:tcW w:w="2032" w:type="dxa"/>
            <w:vMerge w:val="continue"/>
            <w:vAlign w:val="center"/>
          </w:tcPr>
          <w:p>
            <w:pPr>
              <w:bidi w:val="0"/>
              <w:rPr>
                <w:rFonts w:hint="eastAsia" w:ascii="楷体" w:hAnsi="楷体" w:eastAsia="楷体" w:cs="楷体"/>
                <w:b w:val="0"/>
                <w:bCs w:val="0"/>
                <w:color w:val="auto"/>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Merge w:val="continue"/>
            <w:vAlign w:val="center"/>
          </w:tcPr>
          <w:p>
            <w:pPr>
              <w:bidi w:val="0"/>
              <w:rPr>
                <w:rFonts w:hint="eastAsia" w:ascii="楷体" w:hAnsi="楷体" w:eastAsia="楷体" w:cs="楷体"/>
                <w:lang w:val="en-US" w:eastAsia="zh-CN"/>
              </w:rPr>
            </w:pPr>
          </w:p>
        </w:tc>
        <w:tc>
          <w:tcPr>
            <w:tcW w:w="1763" w:type="dxa"/>
            <w:vAlign w:val="center"/>
          </w:tcPr>
          <w:p>
            <w:pPr>
              <w:bidi w:val="0"/>
              <w:jc w:val="center"/>
              <w:rPr>
                <w:rFonts w:hint="eastAsia" w:ascii="楷体" w:hAnsi="楷体" w:eastAsia="楷体" w:cs="楷体"/>
                <w:lang w:val="en-US" w:eastAsia="zh-CN"/>
              </w:rPr>
            </w:pPr>
            <w:r>
              <w:rPr>
                <w:rFonts w:hint="eastAsia" w:ascii="楷体" w:hAnsi="楷体" w:eastAsia="楷体" w:cs="楷体"/>
                <w:color w:val="auto"/>
                <w:sz w:val="21"/>
                <w:szCs w:val="21"/>
                <w:vertAlign w:val="baseline"/>
                <w:lang w:val="en-US" w:eastAsia="zh-CN"/>
              </w:rPr>
              <w:t>山东杂粮煎饼</w:t>
            </w:r>
          </w:p>
        </w:tc>
        <w:tc>
          <w:tcPr>
            <w:tcW w:w="1515" w:type="dxa"/>
            <w:vMerge w:val="continue"/>
            <w:vAlign w:val="center"/>
          </w:tcPr>
          <w:p>
            <w:pPr>
              <w:bidi w:val="0"/>
              <w:rPr>
                <w:rFonts w:hint="eastAsia" w:ascii="楷体" w:hAnsi="楷体" w:eastAsia="楷体" w:cs="楷体"/>
                <w:color w:val="auto"/>
                <w:sz w:val="21"/>
                <w:szCs w:val="21"/>
                <w:vertAlign w:val="baseline"/>
                <w:lang w:val="en-US" w:eastAsia="zh-CN"/>
              </w:rPr>
            </w:pPr>
          </w:p>
        </w:tc>
        <w:tc>
          <w:tcPr>
            <w:tcW w:w="876" w:type="dxa"/>
            <w:vMerge w:val="continue"/>
            <w:vAlign w:val="center"/>
          </w:tcPr>
          <w:p>
            <w:pPr>
              <w:bidi w:val="0"/>
              <w:rPr>
                <w:rFonts w:hint="eastAsia" w:ascii="楷体" w:hAnsi="楷体" w:eastAsia="楷体" w:cs="楷体"/>
                <w:lang w:val="en-US" w:eastAsia="zh-CN"/>
              </w:rPr>
            </w:pPr>
          </w:p>
        </w:tc>
        <w:tc>
          <w:tcPr>
            <w:tcW w:w="1899" w:type="dxa"/>
            <w:vMerge w:val="restart"/>
            <w:vAlign w:val="center"/>
          </w:tcPr>
          <w:p>
            <w:pPr>
              <w:bidi w:val="0"/>
              <w:jc w:val="center"/>
              <w:rPr>
                <w:rFonts w:hint="eastAsia" w:ascii="楷体" w:hAnsi="楷体" w:eastAsia="楷体" w:cs="楷体"/>
                <w:lang w:val="en-US" w:eastAsia="zh-CN"/>
              </w:rPr>
            </w:pPr>
            <w:r>
              <w:rPr>
                <w:rFonts w:hint="eastAsia" w:ascii="楷体" w:hAnsi="楷体" w:eastAsia="楷体" w:cs="楷体"/>
                <w:color w:val="auto"/>
                <w:sz w:val="21"/>
                <w:szCs w:val="21"/>
                <w:vertAlign w:val="baseline"/>
                <w:lang w:val="en-US" w:eastAsia="zh-CN"/>
              </w:rPr>
              <w:t>爱玛电动车</w:t>
            </w:r>
          </w:p>
        </w:tc>
        <w:tc>
          <w:tcPr>
            <w:tcW w:w="2032" w:type="dxa"/>
            <w:vMerge w:val="restart"/>
            <w:vAlign w:val="center"/>
          </w:tcPr>
          <w:p>
            <w:pPr>
              <w:bidi w:val="0"/>
              <w:jc w:val="center"/>
              <w:rPr>
                <w:rFonts w:hint="eastAsia" w:ascii="楷体" w:hAnsi="楷体" w:eastAsia="楷体" w:cs="楷体"/>
                <w:color w:val="auto"/>
                <w:sz w:val="21"/>
                <w:szCs w:val="21"/>
                <w:vertAlign w:val="baseline"/>
                <w:lang w:val="en-US" w:eastAsia="zh-CN"/>
              </w:rPr>
            </w:pPr>
            <w:r>
              <w:rPr>
                <w:rFonts w:hint="eastAsia" w:ascii="楷体" w:hAnsi="楷体" w:eastAsia="楷体" w:cs="楷体"/>
                <w:b w:val="0"/>
                <w:bCs w:val="0"/>
                <w:color w:val="auto"/>
                <w:sz w:val="21"/>
                <w:szCs w:val="21"/>
                <w:u w:val="none"/>
                <w:vertAlign w:val="baseline"/>
                <w:lang w:val="en-US" w:eastAsia="zh-CN"/>
              </w:rPr>
              <w:t>常州小牛电动车的发展史（常州龙头行业）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Merge w:val="continue"/>
            <w:vAlign w:val="center"/>
          </w:tcPr>
          <w:p>
            <w:pPr>
              <w:bidi w:val="0"/>
              <w:rPr>
                <w:rFonts w:hint="eastAsia" w:ascii="楷体" w:hAnsi="楷体" w:eastAsia="楷体" w:cs="楷体"/>
                <w:lang w:val="en-US" w:eastAsia="zh-CN"/>
              </w:rPr>
            </w:pPr>
          </w:p>
        </w:tc>
        <w:tc>
          <w:tcPr>
            <w:tcW w:w="1763" w:type="dxa"/>
            <w:vAlign w:val="center"/>
          </w:tcPr>
          <w:p>
            <w:pPr>
              <w:bidi w:val="0"/>
              <w:jc w:val="center"/>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海鲜小馄饨</w:t>
            </w:r>
          </w:p>
        </w:tc>
        <w:tc>
          <w:tcPr>
            <w:tcW w:w="1515" w:type="dxa"/>
            <w:vMerge w:val="continue"/>
            <w:vAlign w:val="center"/>
          </w:tcPr>
          <w:p>
            <w:pPr>
              <w:bidi w:val="0"/>
              <w:rPr>
                <w:rFonts w:hint="eastAsia" w:ascii="楷体" w:hAnsi="楷体" w:eastAsia="楷体" w:cs="楷体"/>
                <w:color w:val="auto"/>
                <w:sz w:val="21"/>
                <w:szCs w:val="21"/>
                <w:vertAlign w:val="baseline"/>
                <w:lang w:val="en-US" w:eastAsia="zh-CN"/>
              </w:rPr>
            </w:pPr>
          </w:p>
        </w:tc>
        <w:tc>
          <w:tcPr>
            <w:tcW w:w="876" w:type="dxa"/>
            <w:vMerge w:val="continue"/>
            <w:vAlign w:val="center"/>
          </w:tcPr>
          <w:p>
            <w:pPr>
              <w:bidi w:val="0"/>
              <w:rPr>
                <w:rFonts w:hint="eastAsia" w:ascii="楷体" w:hAnsi="楷体" w:eastAsia="楷体" w:cs="楷体"/>
                <w:lang w:val="en-US" w:eastAsia="zh-CN"/>
              </w:rPr>
            </w:pPr>
          </w:p>
        </w:tc>
        <w:tc>
          <w:tcPr>
            <w:tcW w:w="1899" w:type="dxa"/>
            <w:vMerge w:val="continue"/>
            <w:vAlign w:val="center"/>
          </w:tcPr>
          <w:p>
            <w:pPr>
              <w:bidi w:val="0"/>
              <w:rPr>
                <w:rFonts w:hint="eastAsia" w:ascii="楷体" w:hAnsi="楷体" w:eastAsia="楷体" w:cs="楷体"/>
                <w:lang w:val="en-US" w:eastAsia="zh-CN"/>
              </w:rPr>
            </w:pPr>
          </w:p>
        </w:tc>
        <w:tc>
          <w:tcPr>
            <w:tcW w:w="2032" w:type="dxa"/>
            <w:vMerge w:val="continue"/>
            <w:vAlign w:val="center"/>
          </w:tcPr>
          <w:p>
            <w:pPr>
              <w:bidi w:val="0"/>
              <w:rPr>
                <w:rFonts w:hint="eastAsia" w:ascii="楷体" w:hAnsi="楷体" w:eastAsia="楷体" w:cs="楷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Merge w:val="restart"/>
            <w:vAlign w:val="center"/>
          </w:tcPr>
          <w:p>
            <w:pPr>
              <w:bidi w:val="0"/>
              <w:ind w:left="420" w:hanging="420" w:hangingChars="200"/>
              <w:rPr>
                <w:rFonts w:hint="eastAsia" w:ascii="楷体" w:hAnsi="楷体" w:eastAsia="楷体" w:cs="楷体"/>
                <w:lang w:val="en-US" w:eastAsia="zh-CN"/>
              </w:rPr>
            </w:pPr>
            <w:r>
              <w:rPr>
                <w:rFonts w:hint="eastAsia" w:ascii="楷体" w:hAnsi="楷体" w:eastAsia="楷体" w:cs="楷体"/>
                <w:lang w:val="en-US" w:eastAsia="zh-CN"/>
              </w:rPr>
              <w:t xml:space="preserve">   住</w:t>
            </w:r>
          </w:p>
        </w:tc>
        <w:tc>
          <w:tcPr>
            <w:tcW w:w="1763" w:type="dxa"/>
            <w:vAlign w:val="center"/>
          </w:tcPr>
          <w:p>
            <w:pPr>
              <w:bidi w:val="0"/>
              <w:jc w:val="center"/>
              <w:rPr>
                <w:rFonts w:hint="eastAsia" w:ascii="楷体" w:hAnsi="楷体" w:eastAsia="楷体" w:cs="楷体"/>
                <w:b w:val="0"/>
                <w:bCs w:val="0"/>
                <w:color w:val="auto"/>
                <w:sz w:val="21"/>
                <w:szCs w:val="21"/>
                <w:u w:val="none"/>
                <w:vertAlign w:val="baseline"/>
                <w:lang w:val="en-US" w:eastAsia="zh-CN"/>
              </w:rPr>
            </w:pPr>
            <w:r>
              <w:rPr>
                <w:rFonts w:hint="eastAsia" w:ascii="楷体" w:hAnsi="楷体" w:eastAsia="楷体" w:cs="楷体"/>
                <w:b w:val="0"/>
                <w:bCs w:val="0"/>
                <w:color w:val="auto"/>
                <w:sz w:val="21"/>
                <w:szCs w:val="21"/>
                <w:u w:val="none"/>
                <w:vertAlign w:val="baseline"/>
                <w:lang w:val="en-US" w:eastAsia="zh-CN"/>
              </w:rPr>
              <w:t>虹景花园</w:t>
            </w:r>
          </w:p>
        </w:tc>
        <w:tc>
          <w:tcPr>
            <w:tcW w:w="1515" w:type="dxa"/>
            <w:vMerge w:val="restart"/>
            <w:vAlign w:val="center"/>
          </w:tcPr>
          <w:p>
            <w:pPr>
              <w:bidi w:val="0"/>
              <w:jc w:val="center"/>
              <w:rPr>
                <w:rFonts w:hint="eastAsia" w:ascii="楷体" w:hAnsi="楷体" w:eastAsia="楷体" w:cs="楷体"/>
                <w:b w:val="0"/>
                <w:bCs w:val="0"/>
                <w:color w:val="auto"/>
                <w:sz w:val="21"/>
                <w:szCs w:val="21"/>
                <w:u w:val="none"/>
                <w:vertAlign w:val="baseline"/>
                <w:lang w:val="en-US" w:eastAsia="zh-CN"/>
              </w:rPr>
            </w:pPr>
            <w:r>
              <w:rPr>
                <w:rFonts w:hint="eastAsia" w:ascii="楷体" w:hAnsi="楷体" w:eastAsia="楷体" w:cs="楷体"/>
                <w:b w:val="0"/>
                <w:bCs w:val="0"/>
                <w:color w:val="auto"/>
                <w:sz w:val="21"/>
                <w:szCs w:val="21"/>
                <w:u w:val="none"/>
                <w:vertAlign w:val="baseline"/>
                <w:lang w:val="en-US" w:eastAsia="zh-CN"/>
              </w:rPr>
              <w:t>老小区，新变化</w:t>
            </w:r>
          </w:p>
        </w:tc>
        <w:tc>
          <w:tcPr>
            <w:tcW w:w="876" w:type="dxa"/>
            <w:vMerge w:val="restart"/>
            <w:vAlign w:val="center"/>
          </w:tcPr>
          <w:p>
            <w:pPr>
              <w:bidi w:val="0"/>
              <w:jc w:val="center"/>
              <w:rPr>
                <w:rFonts w:hint="eastAsia" w:ascii="楷体" w:hAnsi="楷体" w:eastAsia="楷体" w:cs="楷体"/>
                <w:lang w:val="en-US" w:eastAsia="zh-CN"/>
              </w:rPr>
            </w:pPr>
            <w:r>
              <w:rPr>
                <w:rFonts w:hint="eastAsia" w:ascii="楷体" w:hAnsi="楷体" w:eastAsia="楷体" w:cs="楷体"/>
                <w:lang w:val="en-US" w:eastAsia="zh-CN"/>
              </w:rPr>
              <w:t>食</w:t>
            </w:r>
          </w:p>
        </w:tc>
        <w:tc>
          <w:tcPr>
            <w:tcW w:w="1899" w:type="dxa"/>
            <w:vAlign w:val="center"/>
          </w:tcPr>
          <w:p>
            <w:pPr>
              <w:bidi w:val="0"/>
              <w:jc w:val="center"/>
              <w:rPr>
                <w:rFonts w:hint="eastAsia" w:ascii="楷体" w:hAnsi="楷体" w:eastAsia="楷体" w:cs="楷体"/>
                <w:lang w:val="en-US" w:eastAsia="zh-CN"/>
              </w:rPr>
            </w:pPr>
            <w:r>
              <w:rPr>
                <w:rFonts w:hint="eastAsia" w:ascii="楷体" w:hAnsi="楷体" w:eastAsia="楷体" w:cs="楷体"/>
                <w:color w:val="auto"/>
                <w:sz w:val="21"/>
                <w:szCs w:val="21"/>
                <w:vertAlign w:val="baseline"/>
                <w:lang w:val="en-US" w:eastAsia="zh-CN"/>
              </w:rPr>
              <w:t>寿熹寿司</w:t>
            </w:r>
          </w:p>
        </w:tc>
        <w:tc>
          <w:tcPr>
            <w:tcW w:w="2032" w:type="dxa"/>
            <w:vAlign w:val="center"/>
          </w:tcPr>
          <w:p>
            <w:pPr>
              <w:bidi w:val="0"/>
              <w:jc w:val="center"/>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寿司的制作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Merge w:val="continue"/>
            <w:vAlign w:val="center"/>
          </w:tcPr>
          <w:p>
            <w:pPr>
              <w:bidi w:val="0"/>
              <w:rPr>
                <w:rFonts w:hint="eastAsia" w:ascii="楷体" w:hAnsi="楷体" w:eastAsia="楷体" w:cs="楷体"/>
                <w:lang w:val="en-US" w:eastAsia="zh-CN"/>
              </w:rPr>
            </w:pPr>
          </w:p>
        </w:tc>
        <w:tc>
          <w:tcPr>
            <w:tcW w:w="1763" w:type="dxa"/>
            <w:vAlign w:val="center"/>
          </w:tcPr>
          <w:p>
            <w:pPr>
              <w:bidi w:val="0"/>
              <w:jc w:val="center"/>
              <w:rPr>
                <w:rFonts w:hint="eastAsia" w:ascii="楷体" w:hAnsi="楷体" w:eastAsia="楷体" w:cs="楷体"/>
                <w:b w:val="0"/>
                <w:bCs w:val="0"/>
                <w:color w:val="auto"/>
                <w:sz w:val="21"/>
                <w:szCs w:val="21"/>
                <w:u w:val="none"/>
                <w:vertAlign w:val="baseline"/>
                <w:lang w:val="en-US" w:eastAsia="zh-CN"/>
              </w:rPr>
            </w:pPr>
            <w:r>
              <w:rPr>
                <w:rFonts w:hint="eastAsia" w:ascii="楷体" w:hAnsi="楷体" w:eastAsia="楷体" w:cs="楷体"/>
                <w:color w:val="auto"/>
                <w:sz w:val="21"/>
                <w:szCs w:val="21"/>
                <w:vertAlign w:val="baseline"/>
                <w:lang w:val="en-US" w:eastAsia="zh-CN"/>
              </w:rPr>
              <w:t>红梅街道办事处</w:t>
            </w:r>
          </w:p>
        </w:tc>
        <w:tc>
          <w:tcPr>
            <w:tcW w:w="1515" w:type="dxa"/>
            <w:vMerge w:val="continue"/>
            <w:vAlign w:val="center"/>
          </w:tcPr>
          <w:p>
            <w:pPr>
              <w:bidi w:val="0"/>
              <w:rPr>
                <w:rFonts w:hint="eastAsia" w:ascii="楷体" w:hAnsi="楷体" w:eastAsia="楷体" w:cs="楷体"/>
                <w:color w:val="auto"/>
                <w:sz w:val="21"/>
                <w:szCs w:val="21"/>
                <w:vertAlign w:val="baseline"/>
                <w:lang w:val="en-US" w:eastAsia="zh-CN"/>
              </w:rPr>
            </w:pPr>
          </w:p>
        </w:tc>
        <w:tc>
          <w:tcPr>
            <w:tcW w:w="876" w:type="dxa"/>
            <w:vMerge w:val="continue"/>
            <w:vAlign w:val="center"/>
          </w:tcPr>
          <w:p>
            <w:pPr>
              <w:bidi w:val="0"/>
              <w:rPr>
                <w:rFonts w:hint="eastAsia" w:ascii="楷体" w:hAnsi="楷体" w:eastAsia="楷体" w:cs="楷体"/>
                <w:lang w:val="en-US" w:eastAsia="zh-CN"/>
              </w:rPr>
            </w:pPr>
          </w:p>
        </w:tc>
        <w:tc>
          <w:tcPr>
            <w:tcW w:w="1899" w:type="dxa"/>
            <w:vAlign w:val="center"/>
          </w:tcPr>
          <w:p>
            <w:pPr>
              <w:bidi w:val="0"/>
              <w:jc w:val="center"/>
              <w:rPr>
                <w:rFonts w:hint="eastAsia" w:ascii="楷体" w:hAnsi="楷体" w:eastAsia="楷体" w:cs="楷体"/>
                <w:lang w:val="en-US" w:eastAsia="zh-CN"/>
              </w:rPr>
            </w:pPr>
            <w:r>
              <w:rPr>
                <w:rFonts w:hint="eastAsia" w:ascii="楷体" w:hAnsi="楷体" w:eastAsia="楷体" w:cs="楷体"/>
                <w:color w:val="auto"/>
                <w:sz w:val="21"/>
                <w:szCs w:val="21"/>
                <w:vertAlign w:val="baseline"/>
                <w:lang w:val="en-US" w:eastAsia="zh-CN"/>
              </w:rPr>
              <w:t>农产直销超市</w:t>
            </w:r>
          </w:p>
        </w:tc>
        <w:tc>
          <w:tcPr>
            <w:tcW w:w="2032" w:type="dxa"/>
            <w:vAlign w:val="center"/>
          </w:tcPr>
          <w:p>
            <w:pPr>
              <w:bidi w:val="0"/>
              <w:jc w:val="center"/>
              <w:rPr>
                <w:rFonts w:hint="eastAsia" w:ascii="楷体" w:hAnsi="楷体" w:eastAsia="楷体" w:cs="楷体"/>
                <w:color w:val="auto"/>
                <w:sz w:val="21"/>
                <w:szCs w:val="21"/>
                <w:vertAlign w:val="baseline"/>
                <w:lang w:val="en-US" w:eastAsia="zh-CN"/>
              </w:rPr>
            </w:pPr>
            <w:r>
              <w:rPr>
                <w:rFonts w:hint="eastAsia" w:ascii="楷体" w:hAnsi="楷体" w:eastAsia="楷体" w:cs="楷体"/>
                <w:b w:val="0"/>
                <w:bCs w:val="0"/>
                <w:color w:val="auto"/>
                <w:sz w:val="21"/>
                <w:szCs w:val="21"/>
                <w:u w:val="none"/>
                <w:vertAlign w:val="baseline"/>
                <w:lang w:val="en-US" w:eastAsia="zh-CN"/>
              </w:rPr>
              <w:t>我给家人做道菜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Merge w:val="restart"/>
            <w:vAlign w:val="center"/>
          </w:tcPr>
          <w:p>
            <w:pPr>
              <w:bidi w:val="0"/>
              <w:jc w:val="center"/>
              <w:rPr>
                <w:rFonts w:hint="eastAsia" w:ascii="楷体" w:hAnsi="楷体" w:eastAsia="楷体" w:cs="楷体"/>
                <w:lang w:val="en-US" w:eastAsia="zh-CN"/>
              </w:rPr>
            </w:pPr>
          </w:p>
          <w:p>
            <w:pPr>
              <w:bidi w:val="0"/>
              <w:jc w:val="center"/>
              <w:rPr>
                <w:rFonts w:hint="eastAsia" w:ascii="楷体" w:hAnsi="楷体" w:eastAsia="楷体" w:cs="楷体"/>
                <w:lang w:val="en-US" w:eastAsia="zh-CN"/>
              </w:rPr>
            </w:pPr>
            <w:r>
              <w:rPr>
                <w:rFonts w:hint="eastAsia" w:ascii="楷体" w:hAnsi="楷体" w:eastAsia="楷体" w:cs="楷体"/>
                <w:lang w:val="en-US" w:eastAsia="zh-CN"/>
              </w:rPr>
              <w:t>教育</w:t>
            </w:r>
          </w:p>
        </w:tc>
        <w:tc>
          <w:tcPr>
            <w:tcW w:w="1763" w:type="dxa"/>
            <w:vAlign w:val="center"/>
          </w:tcPr>
          <w:p>
            <w:pPr>
              <w:bidi w:val="0"/>
              <w:jc w:val="center"/>
              <w:rPr>
                <w:rFonts w:hint="eastAsia" w:ascii="楷体" w:hAnsi="楷体" w:eastAsia="楷体" w:cs="楷体"/>
                <w:b w:val="0"/>
                <w:bCs w:val="0"/>
                <w:color w:val="auto"/>
                <w:sz w:val="21"/>
                <w:szCs w:val="21"/>
                <w:u w:val="none"/>
                <w:vertAlign w:val="baseline"/>
                <w:lang w:val="en-US" w:eastAsia="zh-CN"/>
              </w:rPr>
            </w:pPr>
            <w:r>
              <w:rPr>
                <w:rFonts w:hint="eastAsia" w:ascii="楷体" w:hAnsi="楷体" w:eastAsia="楷体" w:cs="楷体"/>
                <w:color w:val="auto"/>
                <w:sz w:val="21"/>
                <w:szCs w:val="21"/>
                <w:vertAlign w:val="baseline"/>
                <w:lang w:val="en-US" w:eastAsia="zh-CN"/>
              </w:rPr>
              <w:t>快乐学晚托</w:t>
            </w:r>
          </w:p>
        </w:tc>
        <w:tc>
          <w:tcPr>
            <w:tcW w:w="1515" w:type="dxa"/>
            <w:vAlign w:val="center"/>
          </w:tcPr>
          <w:p>
            <w:pPr>
              <w:bidi w:val="0"/>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你还晚托吗？</w:t>
            </w:r>
          </w:p>
        </w:tc>
        <w:tc>
          <w:tcPr>
            <w:tcW w:w="876" w:type="dxa"/>
            <w:vMerge w:val="continue"/>
            <w:vAlign w:val="center"/>
          </w:tcPr>
          <w:p>
            <w:pPr>
              <w:bidi w:val="0"/>
              <w:rPr>
                <w:rFonts w:hint="eastAsia" w:ascii="楷体" w:hAnsi="楷体" w:eastAsia="楷体" w:cs="楷体"/>
                <w:lang w:val="en-US" w:eastAsia="zh-CN"/>
              </w:rPr>
            </w:pPr>
          </w:p>
        </w:tc>
        <w:tc>
          <w:tcPr>
            <w:tcW w:w="1899" w:type="dxa"/>
            <w:vAlign w:val="center"/>
          </w:tcPr>
          <w:p>
            <w:pPr>
              <w:bidi w:val="0"/>
              <w:jc w:val="center"/>
              <w:rPr>
                <w:rFonts w:hint="eastAsia" w:ascii="楷体" w:hAnsi="楷体" w:eastAsia="楷体" w:cs="楷体"/>
                <w:lang w:val="en-US" w:eastAsia="zh-CN"/>
              </w:rPr>
            </w:pPr>
            <w:r>
              <w:rPr>
                <w:rFonts w:hint="eastAsia" w:ascii="楷体" w:hAnsi="楷体" w:eastAsia="楷体" w:cs="楷体"/>
                <w:color w:val="auto"/>
                <w:sz w:val="21"/>
                <w:szCs w:val="21"/>
                <w:vertAlign w:val="baseline"/>
                <w:lang w:val="en-US" w:eastAsia="zh-CN"/>
              </w:rPr>
              <w:t>好又多超市</w:t>
            </w:r>
          </w:p>
        </w:tc>
        <w:tc>
          <w:tcPr>
            <w:tcW w:w="2032" w:type="dxa"/>
            <w:vAlign w:val="center"/>
          </w:tcPr>
          <w:p>
            <w:pPr>
              <w:bidi w:val="0"/>
              <w:jc w:val="center"/>
              <w:rPr>
                <w:rFonts w:hint="eastAsia" w:ascii="楷体" w:hAnsi="楷体" w:eastAsia="楷体" w:cs="楷体"/>
                <w:color w:val="auto"/>
                <w:sz w:val="21"/>
                <w:szCs w:val="21"/>
                <w:vertAlign w:val="baseline"/>
                <w:lang w:val="en-US" w:eastAsia="zh-CN"/>
              </w:rPr>
            </w:pPr>
            <w:r>
              <w:rPr>
                <w:rFonts w:hint="eastAsia" w:ascii="楷体" w:hAnsi="楷体" w:eastAsia="楷体" w:cs="楷体"/>
                <w:b w:val="0"/>
                <w:bCs w:val="0"/>
                <w:color w:val="auto"/>
                <w:sz w:val="21"/>
                <w:szCs w:val="21"/>
                <w:u w:val="none"/>
                <w:vertAlign w:val="baseline"/>
                <w:lang w:val="en-US" w:eastAsia="zh-CN"/>
              </w:rPr>
              <w:t>小小采购员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Merge w:val="continue"/>
            <w:vAlign w:val="center"/>
          </w:tcPr>
          <w:p>
            <w:pPr>
              <w:bidi w:val="0"/>
              <w:rPr>
                <w:rFonts w:hint="eastAsia" w:ascii="楷体" w:hAnsi="楷体" w:eastAsia="楷体" w:cs="楷体"/>
                <w:lang w:val="en-US" w:eastAsia="zh-CN"/>
              </w:rPr>
            </w:pPr>
          </w:p>
        </w:tc>
        <w:tc>
          <w:tcPr>
            <w:tcW w:w="1763" w:type="dxa"/>
            <w:vAlign w:val="center"/>
          </w:tcPr>
          <w:p>
            <w:pPr>
              <w:bidi w:val="0"/>
              <w:jc w:val="center"/>
              <w:rPr>
                <w:rFonts w:hint="eastAsia" w:ascii="楷体" w:hAnsi="楷体" w:eastAsia="楷体" w:cs="楷体"/>
                <w:b w:val="0"/>
                <w:bCs w:val="0"/>
                <w:color w:val="auto"/>
                <w:sz w:val="21"/>
                <w:szCs w:val="21"/>
                <w:u w:val="none"/>
                <w:vertAlign w:val="baseline"/>
                <w:lang w:val="en-US" w:eastAsia="zh-CN"/>
              </w:rPr>
            </w:pPr>
            <w:r>
              <w:rPr>
                <w:rFonts w:hint="eastAsia" w:ascii="楷体" w:hAnsi="楷体" w:eastAsia="楷体" w:cs="楷体"/>
                <w:color w:val="auto"/>
                <w:kern w:val="2"/>
                <w:sz w:val="21"/>
                <w:szCs w:val="21"/>
                <w:vertAlign w:val="baseline"/>
                <w:lang w:val="en-US" w:eastAsia="zh-CN" w:bidi="ar-SA"/>
              </w:rPr>
              <w:t>贝蕾幼儿园</w:t>
            </w:r>
          </w:p>
        </w:tc>
        <w:tc>
          <w:tcPr>
            <w:tcW w:w="1515" w:type="dxa"/>
            <w:vAlign w:val="center"/>
          </w:tcPr>
          <w:p>
            <w:pPr>
              <w:bidi w:val="0"/>
              <w:jc w:val="center"/>
              <w:rPr>
                <w:rFonts w:hint="eastAsia" w:ascii="楷体" w:hAnsi="楷体" w:eastAsia="楷体" w:cs="楷体"/>
                <w:color w:val="auto"/>
                <w:kern w:val="2"/>
                <w:sz w:val="21"/>
                <w:szCs w:val="21"/>
                <w:vertAlign w:val="baseline"/>
                <w:lang w:val="en-US" w:eastAsia="zh-CN" w:bidi="ar-SA"/>
              </w:rPr>
            </w:pPr>
            <w:r>
              <w:rPr>
                <w:rFonts w:hint="eastAsia" w:ascii="楷体" w:hAnsi="楷体" w:eastAsia="楷体" w:cs="楷体"/>
                <w:color w:val="auto"/>
                <w:kern w:val="2"/>
                <w:sz w:val="21"/>
                <w:szCs w:val="21"/>
                <w:vertAlign w:val="baseline"/>
                <w:lang w:val="en-US" w:eastAsia="zh-CN" w:bidi="ar-SA"/>
              </w:rPr>
              <w:t>我当小老师</w:t>
            </w:r>
          </w:p>
        </w:tc>
        <w:tc>
          <w:tcPr>
            <w:tcW w:w="876" w:type="dxa"/>
            <w:vAlign w:val="center"/>
          </w:tcPr>
          <w:p>
            <w:pPr>
              <w:bidi w:val="0"/>
              <w:jc w:val="center"/>
              <w:rPr>
                <w:rFonts w:hint="eastAsia" w:ascii="楷体" w:hAnsi="楷体" w:eastAsia="楷体" w:cs="楷体"/>
                <w:lang w:val="en-US" w:eastAsia="zh-CN"/>
              </w:rPr>
            </w:pPr>
            <w:r>
              <w:rPr>
                <w:rFonts w:hint="eastAsia" w:ascii="楷体" w:hAnsi="楷体" w:eastAsia="楷体" w:cs="楷体"/>
                <w:lang w:val="en-US" w:eastAsia="zh-CN"/>
              </w:rPr>
              <w:t>法</w:t>
            </w:r>
          </w:p>
        </w:tc>
        <w:tc>
          <w:tcPr>
            <w:tcW w:w="1899" w:type="dxa"/>
            <w:vAlign w:val="center"/>
          </w:tcPr>
          <w:p>
            <w:pPr>
              <w:bidi w:val="0"/>
              <w:jc w:val="center"/>
              <w:rPr>
                <w:rFonts w:hint="eastAsia" w:ascii="楷体" w:hAnsi="楷体" w:eastAsia="楷体" w:cs="楷体"/>
                <w:lang w:val="en-US" w:eastAsia="zh-CN"/>
              </w:rPr>
            </w:pPr>
            <w:r>
              <w:rPr>
                <w:rFonts w:hint="eastAsia" w:ascii="楷体" w:hAnsi="楷体" w:eastAsia="楷体" w:cs="楷体"/>
                <w:color w:val="auto"/>
                <w:sz w:val="21"/>
                <w:szCs w:val="21"/>
                <w:vertAlign w:val="baseline"/>
                <w:lang w:val="en-US" w:eastAsia="zh-CN"/>
              </w:rPr>
              <w:t>天宁区人民检察院</w:t>
            </w:r>
          </w:p>
        </w:tc>
        <w:tc>
          <w:tcPr>
            <w:tcW w:w="2032" w:type="dxa"/>
            <w:vAlign w:val="center"/>
          </w:tcPr>
          <w:p>
            <w:pPr>
              <w:bidi w:val="0"/>
              <w:jc w:val="center"/>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与法同行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bidi w:val="0"/>
              <w:jc w:val="center"/>
              <w:rPr>
                <w:rFonts w:hint="eastAsia" w:ascii="楷体" w:hAnsi="楷体" w:eastAsia="楷体" w:cs="楷体"/>
                <w:lang w:val="en-US" w:eastAsia="zh-CN"/>
              </w:rPr>
            </w:pPr>
            <w:r>
              <w:rPr>
                <w:rFonts w:hint="eastAsia" w:ascii="楷体" w:hAnsi="楷体" w:eastAsia="楷体" w:cs="楷体"/>
                <w:b/>
                <w:bCs/>
                <w:lang w:val="en-US" w:eastAsia="zh-CN"/>
              </w:rPr>
              <w:t>东边</w:t>
            </w:r>
          </w:p>
        </w:tc>
        <w:tc>
          <w:tcPr>
            <w:tcW w:w="1763" w:type="dxa"/>
            <w:vAlign w:val="center"/>
          </w:tcPr>
          <w:p>
            <w:pPr>
              <w:bidi w:val="0"/>
              <w:rPr>
                <w:rFonts w:hint="eastAsia" w:ascii="楷体" w:hAnsi="楷体" w:eastAsia="楷体" w:cs="楷体"/>
                <w:b w:val="0"/>
                <w:bCs w:val="0"/>
                <w:color w:val="auto"/>
                <w:sz w:val="21"/>
                <w:szCs w:val="21"/>
                <w:u w:val="none"/>
                <w:vertAlign w:val="baseline"/>
                <w:lang w:val="en-US" w:eastAsia="zh-CN"/>
              </w:rPr>
            </w:pPr>
            <w:r>
              <w:rPr>
                <w:rFonts w:hint="eastAsia" w:ascii="楷体" w:hAnsi="楷体" w:eastAsia="楷体" w:cs="楷体"/>
                <w:b/>
                <w:bCs/>
                <w:color w:val="auto"/>
                <w:sz w:val="21"/>
                <w:szCs w:val="21"/>
                <w:u w:val="none"/>
                <w:vertAlign w:val="baseline"/>
                <w:lang w:val="en-US" w:eastAsia="zh-CN"/>
              </w:rPr>
              <w:t>推荐资源</w:t>
            </w:r>
          </w:p>
        </w:tc>
        <w:tc>
          <w:tcPr>
            <w:tcW w:w="1515" w:type="dxa"/>
            <w:vAlign w:val="center"/>
          </w:tcPr>
          <w:p>
            <w:pPr>
              <w:bidi w:val="0"/>
              <w:jc w:val="center"/>
              <w:rPr>
                <w:rFonts w:hint="eastAsia" w:ascii="楷体" w:hAnsi="楷体" w:eastAsia="楷体" w:cs="楷体"/>
                <w:b/>
                <w:bCs/>
                <w:color w:val="auto"/>
                <w:sz w:val="21"/>
                <w:szCs w:val="21"/>
                <w:u w:val="none"/>
                <w:vertAlign w:val="baseline"/>
                <w:lang w:val="en-US" w:eastAsia="zh-CN"/>
              </w:rPr>
            </w:pPr>
            <w:r>
              <w:rPr>
                <w:rFonts w:hint="eastAsia" w:ascii="楷体" w:hAnsi="楷体" w:eastAsia="楷体" w:cs="楷体"/>
                <w:b/>
                <w:bCs/>
                <w:color w:val="auto"/>
                <w:sz w:val="21"/>
                <w:szCs w:val="21"/>
                <w:u w:val="none"/>
                <w:vertAlign w:val="baseline"/>
                <w:lang w:val="en-US" w:eastAsia="zh-CN"/>
              </w:rPr>
              <w:t>推荐主题</w:t>
            </w:r>
          </w:p>
        </w:tc>
        <w:tc>
          <w:tcPr>
            <w:tcW w:w="876" w:type="dxa"/>
            <w:vAlign w:val="center"/>
          </w:tcPr>
          <w:p>
            <w:pPr>
              <w:bidi w:val="0"/>
              <w:jc w:val="center"/>
              <w:rPr>
                <w:rFonts w:hint="eastAsia" w:ascii="楷体" w:hAnsi="楷体" w:eastAsia="楷体" w:cs="楷体"/>
                <w:lang w:val="en-US" w:eastAsia="zh-CN"/>
              </w:rPr>
            </w:pPr>
            <w:r>
              <w:rPr>
                <w:rFonts w:hint="eastAsia" w:ascii="楷体" w:hAnsi="楷体" w:eastAsia="楷体" w:cs="楷体"/>
                <w:lang w:val="en-US" w:eastAsia="zh-CN"/>
              </w:rPr>
              <w:t>医药</w:t>
            </w:r>
          </w:p>
        </w:tc>
        <w:tc>
          <w:tcPr>
            <w:tcW w:w="1899" w:type="dxa"/>
            <w:vAlign w:val="center"/>
          </w:tcPr>
          <w:p>
            <w:pPr>
              <w:bidi w:val="0"/>
              <w:jc w:val="center"/>
              <w:rPr>
                <w:rFonts w:hint="eastAsia" w:ascii="楷体" w:hAnsi="楷体" w:eastAsia="楷体" w:cs="楷体"/>
                <w:lang w:val="en-US" w:eastAsia="zh-CN"/>
              </w:rPr>
            </w:pPr>
            <w:r>
              <w:rPr>
                <w:rFonts w:hint="eastAsia" w:ascii="楷体" w:hAnsi="楷体" w:eastAsia="楷体" w:cs="楷体"/>
                <w:color w:val="auto"/>
                <w:sz w:val="21"/>
                <w:szCs w:val="21"/>
                <w:vertAlign w:val="baseline"/>
                <w:lang w:val="en-US" w:eastAsia="zh-CN"/>
              </w:rPr>
              <w:t>恒泰人民大药房</w:t>
            </w:r>
          </w:p>
        </w:tc>
        <w:tc>
          <w:tcPr>
            <w:tcW w:w="2032" w:type="dxa"/>
            <w:vAlign w:val="center"/>
          </w:tcPr>
          <w:p>
            <w:pPr>
              <w:bidi w:val="0"/>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家庭医药箱的储备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bidi w:val="0"/>
              <w:rPr>
                <w:rFonts w:hint="eastAsia" w:ascii="楷体" w:hAnsi="楷体" w:eastAsia="楷体" w:cs="楷体"/>
                <w:lang w:val="en-US" w:eastAsia="zh-CN"/>
              </w:rPr>
            </w:pPr>
            <w:r>
              <w:rPr>
                <w:rFonts w:hint="eastAsia" w:ascii="楷体" w:hAnsi="楷体" w:eastAsia="楷体" w:cs="楷体"/>
                <w:lang w:val="en-US" w:eastAsia="zh-CN"/>
              </w:rPr>
              <w:t xml:space="preserve">   教育</w:t>
            </w:r>
          </w:p>
        </w:tc>
        <w:tc>
          <w:tcPr>
            <w:tcW w:w="1763" w:type="dxa"/>
            <w:vAlign w:val="center"/>
          </w:tcPr>
          <w:p>
            <w:pPr>
              <w:bidi w:val="0"/>
              <w:rPr>
                <w:rFonts w:hint="eastAsia" w:ascii="楷体" w:hAnsi="楷体" w:eastAsia="楷体" w:cs="楷体"/>
                <w:b w:val="0"/>
                <w:bCs w:val="0"/>
                <w:color w:val="auto"/>
                <w:sz w:val="21"/>
                <w:szCs w:val="21"/>
                <w:u w:val="none"/>
                <w:vertAlign w:val="baseline"/>
                <w:lang w:val="en-US" w:eastAsia="zh-CN"/>
              </w:rPr>
            </w:pPr>
            <w:r>
              <w:rPr>
                <w:rFonts w:hint="eastAsia" w:ascii="楷体" w:hAnsi="楷体" w:eastAsia="楷体" w:cs="楷体"/>
                <w:b w:val="0"/>
                <w:bCs w:val="0"/>
                <w:color w:val="auto"/>
                <w:sz w:val="21"/>
                <w:szCs w:val="21"/>
                <w:u w:val="none"/>
                <w:vertAlign w:val="baseline"/>
                <w:lang w:val="en-US" w:eastAsia="zh-CN"/>
              </w:rPr>
              <w:t>虹景中学</w:t>
            </w:r>
          </w:p>
        </w:tc>
        <w:tc>
          <w:tcPr>
            <w:tcW w:w="1515" w:type="dxa"/>
            <w:vAlign w:val="center"/>
          </w:tcPr>
          <w:p>
            <w:pPr>
              <w:bidi w:val="0"/>
              <w:rPr>
                <w:rFonts w:hint="eastAsia" w:ascii="楷体" w:hAnsi="楷体" w:eastAsia="楷体" w:cs="楷体"/>
                <w:b w:val="0"/>
                <w:bCs w:val="0"/>
                <w:color w:val="auto"/>
                <w:sz w:val="21"/>
                <w:szCs w:val="21"/>
                <w:u w:val="none"/>
                <w:vertAlign w:val="baseline"/>
                <w:lang w:val="en-US" w:eastAsia="zh-CN"/>
              </w:rPr>
            </w:pPr>
            <w:r>
              <w:rPr>
                <w:rFonts w:hint="eastAsia" w:ascii="楷体" w:hAnsi="楷体" w:eastAsia="楷体" w:cs="楷体"/>
                <w:color w:val="auto"/>
                <w:sz w:val="21"/>
                <w:szCs w:val="21"/>
                <w:vertAlign w:val="baseline"/>
                <w:lang w:val="en-US" w:eastAsia="zh-CN"/>
              </w:rPr>
              <w:t>中学生活初体验</w:t>
            </w:r>
          </w:p>
        </w:tc>
        <w:tc>
          <w:tcPr>
            <w:tcW w:w="876" w:type="dxa"/>
            <w:vAlign w:val="center"/>
          </w:tcPr>
          <w:p>
            <w:pPr>
              <w:bidi w:val="0"/>
              <w:jc w:val="center"/>
              <w:rPr>
                <w:rFonts w:hint="eastAsia" w:ascii="楷体" w:hAnsi="楷体" w:eastAsia="楷体" w:cs="楷体"/>
                <w:lang w:val="en-US" w:eastAsia="zh-CN"/>
              </w:rPr>
            </w:pPr>
            <w:r>
              <w:rPr>
                <w:rFonts w:hint="eastAsia" w:ascii="楷体" w:hAnsi="楷体" w:eastAsia="楷体" w:cs="楷体"/>
                <w:lang w:val="en-US" w:eastAsia="zh-CN"/>
              </w:rPr>
              <w:t>财商</w:t>
            </w:r>
          </w:p>
        </w:tc>
        <w:tc>
          <w:tcPr>
            <w:tcW w:w="1899" w:type="dxa"/>
            <w:vAlign w:val="center"/>
          </w:tcPr>
          <w:p>
            <w:pPr>
              <w:bidi w:val="0"/>
              <w:jc w:val="center"/>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农业银行</w:t>
            </w:r>
          </w:p>
        </w:tc>
        <w:tc>
          <w:tcPr>
            <w:tcW w:w="2032" w:type="dxa"/>
            <w:vAlign w:val="center"/>
          </w:tcPr>
          <w:p>
            <w:pPr>
              <w:bidi w:val="0"/>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压岁钱的打开方式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bidi w:val="0"/>
              <w:rPr>
                <w:rFonts w:hint="eastAsia" w:ascii="楷体" w:hAnsi="楷体" w:eastAsia="楷体" w:cs="楷体"/>
                <w:lang w:val="en-US" w:eastAsia="zh-CN"/>
              </w:rPr>
            </w:pPr>
            <w:r>
              <w:rPr>
                <w:rFonts w:hint="eastAsia" w:ascii="楷体" w:hAnsi="楷体" w:eastAsia="楷体" w:cs="楷体"/>
                <w:lang w:val="en-US" w:eastAsia="zh-CN"/>
              </w:rPr>
              <w:t xml:space="preserve">    行</w:t>
            </w:r>
          </w:p>
        </w:tc>
        <w:tc>
          <w:tcPr>
            <w:tcW w:w="1763" w:type="dxa"/>
            <w:vAlign w:val="center"/>
          </w:tcPr>
          <w:p>
            <w:pPr>
              <w:bidi w:val="0"/>
              <w:jc w:val="center"/>
              <w:rPr>
                <w:rFonts w:hint="eastAsia" w:ascii="楷体" w:hAnsi="楷体" w:eastAsia="楷体" w:cs="楷体"/>
                <w:b w:val="0"/>
                <w:bCs w:val="0"/>
                <w:color w:val="auto"/>
                <w:sz w:val="21"/>
                <w:szCs w:val="21"/>
                <w:u w:val="none"/>
                <w:vertAlign w:val="baseline"/>
                <w:lang w:val="en-US" w:eastAsia="zh-CN"/>
              </w:rPr>
            </w:pPr>
            <w:r>
              <w:rPr>
                <w:rFonts w:hint="eastAsia" w:ascii="楷体" w:hAnsi="楷体" w:eastAsia="楷体" w:cs="楷体"/>
                <w:b w:val="0"/>
                <w:bCs w:val="0"/>
                <w:color w:val="auto"/>
                <w:sz w:val="21"/>
                <w:szCs w:val="21"/>
                <w:u w:val="none"/>
                <w:vertAlign w:val="baseline"/>
                <w:lang w:val="en-US" w:eastAsia="zh-CN"/>
              </w:rPr>
              <w:t>高架</w:t>
            </w:r>
          </w:p>
        </w:tc>
        <w:tc>
          <w:tcPr>
            <w:tcW w:w="1515" w:type="dxa"/>
            <w:vAlign w:val="center"/>
          </w:tcPr>
          <w:p>
            <w:pPr>
              <w:bidi w:val="0"/>
              <w:jc w:val="center"/>
              <w:rPr>
                <w:rFonts w:hint="eastAsia" w:ascii="楷体" w:hAnsi="楷体" w:eastAsia="楷体" w:cs="楷体"/>
                <w:b w:val="0"/>
                <w:bCs w:val="0"/>
                <w:color w:val="auto"/>
                <w:sz w:val="21"/>
                <w:szCs w:val="21"/>
                <w:u w:val="none"/>
                <w:vertAlign w:val="baseline"/>
                <w:lang w:val="en-US" w:eastAsia="zh-CN"/>
              </w:rPr>
            </w:pPr>
            <w:r>
              <w:rPr>
                <w:rFonts w:hint="eastAsia" w:ascii="楷体" w:hAnsi="楷体" w:eastAsia="楷体" w:cs="楷体"/>
                <w:color w:val="auto"/>
                <w:sz w:val="21"/>
                <w:szCs w:val="21"/>
                <w:vertAlign w:val="baseline"/>
                <w:lang w:val="en-US" w:eastAsia="zh-CN"/>
              </w:rPr>
              <w:t>高架的历史</w:t>
            </w:r>
          </w:p>
        </w:tc>
        <w:tc>
          <w:tcPr>
            <w:tcW w:w="876" w:type="dxa"/>
            <w:vAlign w:val="center"/>
          </w:tcPr>
          <w:p>
            <w:pPr>
              <w:bidi w:val="0"/>
              <w:jc w:val="center"/>
              <w:rPr>
                <w:rFonts w:hint="eastAsia" w:ascii="楷体" w:hAnsi="楷体" w:eastAsia="楷体" w:cs="楷体"/>
                <w:lang w:val="en-US" w:eastAsia="zh-CN"/>
              </w:rPr>
            </w:pPr>
            <w:r>
              <w:rPr>
                <w:rFonts w:hint="eastAsia" w:ascii="楷体" w:hAnsi="楷体" w:eastAsia="楷体" w:cs="楷体"/>
                <w:lang w:val="en-US" w:eastAsia="zh-CN"/>
              </w:rPr>
              <w:t>网购</w:t>
            </w:r>
          </w:p>
        </w:tc>
        <w:tc>
          <w:tcPr>
            <w:tcW w:w="1899" w:type="dxa"/>
            <w:vAlign w:val="center"/>
          </w:tcPr>
          <w:p>
            <w:pPr>
              <w:bidi w:val="0"/>
              <w:jc w:val="center"/>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kern w:val="2"/>
                <w:sz w:val="21"/>
                <w:szCs w:val="21"/>
                <w:vertAlign w:val="baseline"/>
                <w:lang w:val="en-US" w:eastAsia="zh-CN" w:bidi="ar-SA"/>
              </w:rPr>
              <w:t>菜鸟驿站</w:t>
            </w:r>
          </w:p>
        </w:tc>
        <w:tc>
          <w:tcPr>
            <w:tcW w:w="2032" w:type="dxa"/>
            <w:vAlign w:val="center"/>
          </w:tcPr>
          <w:p>
            <w:pPr>
              <w:bidi w:val="0"/>
              <w:jc w:val="center"/>
              <w:rPr>
                <w:rFonts w:hint="eastAsia" w:ascii="楷体" w:hAnsi="楷体" w:eastAsia="楷体" w:cs="楷体"/>
                <w:color w:val="auto"/>
                <w:kern w:val="2"/>
                <w:sz w:val="21"/>
                <w:szCs w:val="21"/>
                <w:vertAlign w:val="baseline"/>
                <w:lang w:val="en-US" w:eastAsia="zh-CN" w:bidi="ar-SA"/>
              </w:rPr>
            </w:pPr>
            <w:r>
              <w:rPr>
                <w:rFonts w:hint="eastAsia" w:ascii="楷体" w:hAnsi="楷体" w:eastAsia="楷体" w:cs="楷体"/>
                <w:color w:val="auto"/>
                <w:sz w:val="21"/>
                <w:szCs w:val="21"/>
                <w:vertAlign w:val="baseline"/>
                <w:lang w:val="en-US" w:eastAsia="zh-CN"/>
              </w:rPr>
              <w:t>快递生活初体验</w:t>
            </w:r>
          </w:p>
        </w:tc>
      </w:tr>
    </w:tbl>
    <w:p>
      <w:pPr>
        <w:jc w:val="both"/>
        <w:rPr>
          <w:rFonts w:hint="eastAsia" w:ascii="宋体" w:hAnsi="宋体" w:eastAsia="宋体" w:cs="宋体"/>
          <w:sz w:val="21"/>
          <w:szCs w:val="21"/>
          <w:shd w:val="clear" w:color="auto" w:fill="FFFFFF"/>
          <w:lang w:val="en-US" w:eastAsia="zh-CN"/>
        </w:rPr>
      </w:pPr>
    </w:p>
    <w:p>
      <w:pPr>
        <w:spacing w:line="360" w:lineRule="auto"/>
        <w:ind w:firstLine="480" w:firstLineChars="200"/>
        <w:rPr>
          <w:rFonts w:hint="eastAsia"/>
          <w:lang w:val="en-US" w:eastAsia="zh-CN"/>
        </w:rPr>
      </w:pPr>
      <w:r>
        <w:rPr>
          <w:rFonts w:hint="eastAsia" w:ascii="宋体" w:hAnsi="宋体" w:eastAsia="宋体" w:cs="宋体"/>
          <w:sz w:val="24"/>
          <w:szCs w:val="24"/>
          <w:shd w:val="clear" w:color="auto" w:fill="FFFFFF"/>
          <w:lang w:val="en-US" w:eastAsia="zh-CN"/>
        </w:rPr>
        <w:t>“300米资源圈”是学生生活的圈子，从中挑选出的研究性学习主题，具有一定地域特色，学生比较熟悉，在研究的过程中，学生能够真正行动起来，走出校门，融入社区，融入社会。</w:t>
      </w:r>
    </w:p>
    <w:p>
      <w:pPr>
        <w:spacing w:line="360" w:lineRule="auto"/>
        <w:ind w:firstLine="482" w:firstLineChars="200"/>
        <w:rPr>
          <w:rFonts w:hint="eastAsia"/>
          <w:b/>
          <w:bCs/>
          <w:sz w:val="24"/>
          <w:szCs w:val="24"/>
          <w:lang w:val="en-US" w:eastAsia="zh-CN"/>
        </w:rPr>
      </w:pPr>
      <w:r>
        <w:rPr>
          <w:rFonts w:hint="eastAsia"/>
          <w:b/>
          <w:bCs/>
          <w:sz w:val="24"/>
          <w:szCs w:val="24"/>
          <w:lang w:val="en-US" w:eastAsia="zh-CN"/>
        </w:rPr>
        <w:t>二、破“圈”，指导学生学会选</w:t>
      </w:r>
    </w:p>
    <w:p>
      <w:pPr>
        <w:spacing w:line="360" w:lineRule="auto"/>
        <w:rPr>
          <w:rFonts w:hint="default"/>
          <w:sz w:val="24"/>
          <w:szCs w:val="24"/>
          <w:lang w:val="en-US" w:eastAsia="zh-CN"/>
        </w:rPr>
      </w:pPr>
      <w:r>
        <w:rPr>
          <w:rFonts w:hint="eastAsia"/>
          <w:sz w:val="24"/>
          <w:szCs w:val="24"/>
          <w:lang w:val="en-US" w:eastAsia="zh-CN"/>
        </w:rPr>
        <w:t xml:space="preserve">    学生的生活是丰富多彩的。“300米资源圈”所呈现的只是学生生活中的一角，里面呈现的主题是教师从儿童视角出发给予的，教师的主观性比较强，学生的主体意识尚未被完全激发。因此，伴随着学生年段的提升，教师和学生都应从现有的“300米资源圈”跳脱出来，鼓励学生自己寻找研究的主题，提升研究性学习的能力。</w:t>
      </w:r>
    </w:p>
    <w:p>
      <w:pPr>
        <w:spacing w:line="360" w:lineRule="auto"/>
        <w:rPr>
          <w:rFonts w:hint="default"/>
          <w:sz w:val="24"/>
          <w:szCs w:val="24"/>
          <w:lang w:val="en-US" w:eastAsia="zh-CN"/>
        </w:rPr>
      </w:pPr>
      <w:r>
        <w:rPr>
          <w:rFonts w:hint="eastAsia"/>
          <w:sz w:val="24"/>
          <w:szCs w:val="24"/>
          <w:lang w:val="en-US" w:eastAsia="zh-CN"/>
        </w:rPr>
        <w:t xml:space="preserve">  </w:t>
      </w:r>
      <w:r>
        <w:rPr>
          <w:rFonts w:hint="eastAsia"/>
          <w:b/>
          <w:bCs/>
          <w:sz w:val="24"/>
          <w:szCs w:val="24"/>
          <w:lang w:val="en-US" w:eastAsia="zh-CN"/>
        </w:rPr>
        <w:t xml:space="preserve"> （一）兴趣出发，生活内容话题化</w:t>
      </w:r>
    </w:p>
    <w:p>
      <w:pPr>
        <w:spacing w:line="360" w:lineRule="auto"/>
        <w:ind w:firstLine="480"/>
        <w:rPr>
          <w:rFonts w:hint="default"/>
          <w:sz w:val="24"/>
          <w:szCs w:val="24"/>
          <w:lang w:val="en-US" w:eastAsia="zh-CN"/>
        </w:rPr>
      </w:pPr>
      <w:r>
        <w:rPr>
          <w:rFonts w:hint="eastAsia"/>
          <w:sz w:val="24"/>
          <w:szCs w:val="24"/>
          <w:lang w:val="en-US" w:eastAsia="zh-CN"/>
        </w:rPr>
        <w:t>研究性学习是基于学生兴趣开展的探究活动，教师首先可以按照学生活动的场域将学生生活的内容划分为校园生活、家庭生活、社会生活（含社区），其次鼓励学生将生活中看到的、听到的感兴趣的事情说出来，最后将学生感兴趣的内容转化为话题。</w:t>
      </w:r>
    </w:p>
    <w:p>
      <w:pPr>
        <w:spacing w:line="360" w:lineRule="auto"/>
        <w:ind w:firstLine="480"/>
        <w:rPr>
          <w:rFonts w:hint="eastAsia"/>
          <w:b/>
          <w:bCs/>
          <w:sz w:val="24"/>
          <w:szCs w:val="24"/>
          <w:lang w:val="en-US" w:eastAsia="zh-CN"/>
        </w:rPr>
      </w:pPr>
      <w:r>
        <w:rPr>
          <w:rFonts w:hint="eastAsia"/>
          <w:sz w:val="24"/>
          <w:szCs w:val="24"/>
          <w:lang w:val="en-US" w:eastAsia="zh-CN"/>
        </w:rPr>
        <w:t>在将生活内容转化为话题的过程中，需要注意话题范围有度。如在校园生活中，有学生描述道：“上学期，我在校园农场里拔上来的萝卜是空心的，而其他人拔上来的萝卜是实心的，我想知道萝卜为什么空心？”这件事情就可以转化为研究的话题“校园空心萝卜”。为什么不转化为“校园萝卜”或“校园萝卜为什么空心”呢？主要在于前者的范围太大，可能会脱离学生真正感兴趣的内容，而后者是一个具体的问题，研究内容虽然直指学生最感兴趣的内容，但是研究的面比较窄化，限制了学生对诸如“如何预防校园萝卜空心”、“校园的空心萝卜能吃吗”等潜在感兴趣内容的研究。</w:t>
      </w:r>
    </w:p>
    <w:p>
      <w:pPr>
        <w:spacing w:line="360" w:lineRule="auto"/>
        <w:ind w:firstLine="482" w:firstLineChars="200"/>
        <w:rPr>
          <w:rFonts w:hint="eastAsia"/>
          <w:b/>
          <w:bCs/>
          <w:sz w:val="24"/>
          <w:szCs w:val="24"/>
          <w:lang w:val="en-US" w:eastAsia="zh-CN"/>
        </w:rPr>
      </w:pPr>
      <w:r>
        <w:rPr>
          <w:rFonts w:hint="eastAsia"/>
          <w:b/>
          <w:bCs/>
          <w:sz w:val="24"/>
          <w:szCs w:val="24"/>
          <w:lang w:val="en-US" w:eastAsia="zh-CN"/>
        </w:rPr>
        <w:t>（二）发散思维，话题问题化</w:t>
      </w:r>
    </w:p>
    <w:p>
      <w:pPr>
        <w:spacing w:line="360" w:lineRule="auto"/>
        <w:ind w:firstLine="480"/>
        <w:jc w:val="both"/>
        <w:rPr>
          <w:rFonts w:hint="eastAsia" w:ascii="宋体" w:hAnsi="宋体" w:cs="宋体"/>
          <w:color w:val="auto"/>
          <w:sz w:val="24"/>
          <w:lang w:val="en-US" w:eastAsia="zh-CN"/>
        </w:rPr>
      </w:pPr>
      <w:r>
        <w:rPr>
          <w:rFonts w:hint="eastAsia" w:ascii="宋体" w:hAnsi="宋体" w:cs="宋体"/>
          <w:color w:val="auto"/>
          <w:sz w:val="24"/>
          <w:lang w:val="en-US" w:eastAsia="zh-CN"/>
        </w:rPr>
        <w:t>问题意识是选题的必要条件。面对已有的感兴趣的话题，教师需要充分调动学生积极性，指导学生围绕话题从“是什么”、“为什么”、“怎么办”三个维度提出问题，形成思维导图 。</w:t>
      </w:r>
    </w:p>
    <w:p>
      <w:pPr>
        <w:spacing w:line="360" w:lineRule="auto"/>
        <w:ind w:firstLine="480" w:firstLineChars="200"/>
        <w:jc w:val="both"/>
        <w:rPr>
          <w:rFonts w:hint="default" w:ascii="宋体" w:hAnsi="宋体" w:cs="宋体"/>
          <w:color w:val="auto"/>
          <w:sz w:val="24"/>
          <w:lang w:val="en-US" w:eastAsia="zh-CN"/>
        </w:rPr>
      </w:pPr>
      <w:r>
        <w:rPr>
          <w:rFonts w:hint="eastAsia" w:ascii="宋体" w:hAnsi="宋体" w:cs="宋体"/>
          <w:color w:val="auto"/>
          <w:sz w:val="24"/>
          <w:lang w:val="en-US" w:eastAsia="zh-CN"/>
        </w:rPr>
        <w:t>“是什么”多是机械性知识的提问，“为什么”是对某类现象的成因探究，“怎么做”是问题解决的策略探究。如针对“校园空心萝卜”这个话题可以提出以下问题：“校园里，什么样的萝卜是空心萝卜”、“校园空心萝卜与没有空心的萝卜的口感相同吗”、“校园里的萝卜为什么会空心”、“该如何预防校园里的萝卜空心”……</w:t>
      </w:r>
    </w:p>
    <w:p>
      <w:pPr>
        <w:spacing w:line="360" w:lineRule="auto"/>
        <w:ind w:firstLine="480" w:firstLineChars="200"/>
        <w:jc w:val="both"/>
        <w:rPr>
          <w:rFonts w:hint="eastAsia" w:ascii="宋体" w:hAnsi="宋体" w:cs="宋体"/>
          <w:color w:val="auto"/>
          <w:sz w:val="24"/>
          <w:lang w:val="en-US" w:eastAsia="zh-CN"/>
        </w:rPr>
      </w:pPr>
      <w:r>
        <w:rPr>
          <w:rFonts w:hint="eastAsia" w:ascii="宋体" w:hAnsi="宋体" w:cs="宋体"/>
          <w:color w:val="auto"/>
          <w:sz w:val="24"/>
          <w:lang w:val="en-US" w:eastAsia="zh-CN"/>
        </w:rPr>
        <w:t>在提出问题的过程中，学生再次将话题缩小，可能依旧会选择在话题阶段时就提出的感兴趣的问题作为主题开展研究，也有可能会选择此话题下的其他问题，作为主题开展研究。</w:t>
      </w:r>
      <w:bookmarkStart w:id="0" w:name="_GoBack"/>
      <w:bookmarkEnd w:id="0"/>
    </w:p>
    <w:p>
      <w:pPr>
        <w:spacing w:line="360" w:lineRule="auto"/>
        <w:ind w:firstLine="482" w:firstLineChars="200"/>
        <w:jc w:val="both"/>
        <w:rPr>
          <w:rFonts w:hint="eastAsia" w:ascii="宋体" w:hAnsi="宋体" w:cs="宋体"/>
          <w:b/>
          <w:bCs/>
          <w:color w:val="auto"/>
          <w:sz w:val="24"/>
          <w:lang w:val="en-US" w:eastAsia="zh-CN"/>
        </w:rPr>
      </w:pPr>
      <w:r>
        <w:rPr>
          <w:rFonts w:hint="eastAsia" w:ascii="宋体" w:hAnsi="宋体" w:cs="宋体"/>
          <w:b/>
          <w:bCs/>
          <w:color w:val="auto"/>
          <w:sz w:val="24"/>
          <w:lang w:val="en-US" w:eastAsia="zh-CN"/>
        </w:rPr>
        <w:t>（三）细化指导，问题课题化</w:t>
      </w:r>
    </w:p>
    <w:p>
      <w:pPr>
        <w:spacing w:line="360" w:lineRule="auto"/>
        <w:ind w:firstLine="480" w:firstLineChars="200"/>
        <w:jc w:val="both"/>
        <w:rPr>
          <w:rFonts w:hint="default" w:ascii="宋体" w:hAnsi="宋体" w:cs="宋体"/>
          <w:color w:val="auto"/>
          <w:sz w:val="24"/>
          <w:lang w:val="en-US" w:eastAsia="zh-CN"/>
        </w:rPr>
      </w:pPr>
      <w:r>
        <w:rPr>
          <w:rFonts w:hint="eastAsia" w:ascii="宋体" w:hAnsi="宋体" w:cs="宋体"/>
          <w:color w:val="auto"/>
          <w:sz w:val="24"/>
          <w:lang w:val="en-US" w:eastAsia="zh-CN"/>
        </w:rPr>
        <w:t>在提出问题后，教师还需要指导学生将问题转化为课题。从问题到课题，教师可以分三步走：</w:t>
      </w:r>
    </w:p>
    <w:p>
      <w:pPr>
        <w:spacing w:line="360" w:lineRule="auto"/>
        <w:ind w:firstLine="482" w:firstLineChars="200"/>
        <w:jc w:val="both"/>
        <w:rPr>
          <w:rFonts w:hint="default" w:ascii="宋体" w:hAnsi="宋体" w:cs="宋体"/>
          <w:color w:val="auto"/>
          <w:sz w:val="24"/>
          <w:lang w:val="en-US" w:eastAsia="zh-CN"/>
        </w:rPr>
      </w:pPr>
      <w:r>
        <w:rPr>
          <w:rFonts w:hint="eastAsia" w:ascii="宋体" w:hAnsi="宋体" w:cs="宋体"/>
          <w:b/>
          <w:bCs/>
          <w:color w:val="auto"/>
          <w:sz w:val="24"/>
          <w:lang w:val="en-US" w:eastAsia="zh-CN"/>
        </w:rPr>
        <w:t>1.指导学生明白问题和课题的区别。</w:t>
      </w:r>
      <w:r>
        <w:rPr>
          <w:rFonts w:hint="eastAsia" w:ascii="宋体" w:hAnsi="宋体" w:cs="宋体"/>
          <w:color w:val="auto"/>
          <w:sz w:val="24"/>
          <w:lang w:val="en-US" w:eastAsia="zh-CN"/>
        </w:rPr>
        <w:t>从形式上来看，问题通常采用疑问句的形式，而课题采用陈述句的形式，且表述更加科学、准确、合理；从内容上来看，问题只是反应困惑，而课题要找准问题的真正“症结”，明确自己想要研究的内容；从结果上来看，问题可能得不到解决，而课题能够使问题得到解决，具有一定的研究价值。</w:t>
      </w:r>
    </w:p>
    <w:p>
      <w:pPr>
        <w:spacing w:line="360" w:lineRule="auto"/>
        <w:ind w:firstLine="482" w:firstLineChars="200"/>
        <w:jc w:val="both"/>
        <w:rPr>
          <w:rFonts w:hint="eastAsia" w:ascii="宋体" w:hAnsi="宋体" w:cs="宋体"/>
          <w:color w:val="auto"/>
          <w:sz w:val="24"/>
          <w:lang w:val="en-US" w:eastAsia="zh-CN"/>
        </w:rPr>
      </w:pPr>
      <w:r>
        <w:rPr>
          <w:rFonts w:hint="eastAsia" w:ascii="宋体" w:hAnsi="宋体" w:cs="宋体"/>
          <w:b/>
          <w:bCs/>
          <w:color w:val="auto"/>
          <w:sz w:val="24"/>
          <w:lang w:val="en-US" w:eastAsia="zh-CN"/>
        </w:rPr>
        <w:t>2.指导学生细化对象、内容和方法。</w:t>
      </w:r>
      <w:r>
        <w:rPr>
          <w:rFonts w:hint="eastAsia" w:ascii="宋体" w:hAnsi="宋体" w:cs="宋体"/>
          <w:color w:val="auto"/>
          <w:sz w:val="24"/>
          <w:lang w:val="en-US" w:eastAsia="zh-CN"/>
        </w:rPr>
        <w:t>就学生确定的问题进一步引导，让学生进一步明确自己所要研究的课题。如有学生确定研究的问题是“校园萝卜为什么会空心”，教师可以针对研究对象和研究内容进一步引导“校园里什么品种的萝卜空心了”、“校园里的萝卜什么时候空心了”、“校园里萝卜空心的数量多还是少”等，可以就研究的方法追问学生“你打算通过什么方法来开展研究”。</w:t>
      </w:r>
    </w:p>
    <w:p>
      <w:pPr>
        <w:spacing w:line="360" w:lineRule="auto"/>
        <w:ind w:firstLine="482" w:firstLineChars="200"/>
        <w:jc w:val="both"/>
        <w:rPr>
          <w:rFonts w:hint="default" w:asciiTheme="minorEastAsia" w:hAnsiTheme="minorEastAsia"/>
          <w:sz w:val="24"/>
          <w:szCs w:val="24"/>
          <w:lang w:val="en-US" w:eastAsia="zh-CN"/>
        </w:rPr>
      </w:pPr>
      <w:r>
        <w:rPr>
          <w:rFonts w:hint="eastAsia" w:ascii="宋体" w:hAnsi="宋体" w:cs="宋体"/>
          <w:b/>
          <w:bCs/>
          <w:color w:val="auto"/>
          <w:sz w:val="24"/>
          <w:lang w:val="en-US" w:eastAsia="zh-CN"/>
        </w:rPr>
        <w:t>3.指导学生规范表达。</w:t>
      </w:r>
      <w:r>
        <w:rPr>
          <w:rFonts w:hint="eastAsia" w:asciiTheme="minorEastAsia" w:hAnsiTheme="minorEastAsia"/>
          <w:sz w:val="24"/>
          <w:szCs w:val="24"/>
          <w:lang w:val="en-US" w:eastAsia="zh-CN"/>
        </w:rPr>
        <w:t>一个规范的课题应当表述为“研究对象+研究内容+研究方法”。基于此，教师首先需要指导学生再次明确研究的对象。其次需要教给学生研究的方法，让他们知道常用的研究方法包括文献研究法、调查法、观察法、实验研究法等。最后，可以通过例子铺垫，让学生内化课题的规范表达。如前文提到的“校园萝卜为什么会空心”这一问题，可以让学生比较以下三个课题名称：</w:t>
      </w:r>
      <w:r>
        <w:rPr>
          <w:rFonts w:hint="eastAsia" w:asciiTheme="minorEastAsia" w:hAnsiTheme="minorEastAsia"/>
          <w:sz w:val="24"/>
          <w:szCs w:val="24"/>
          <w:lang w:val="en-US" w:eastAsia="zh-CN"/>
        </w:rPr>
        <w:fldChar w:fldCharType="begin"/>
      </w:r>
      <w:r>
        <w:rPr>
          <w:rFonts w:hint="eastAsia" w:asciiTheme="minorEastAsia" w:hAnsiTheme="minorEastAsia"/>
          <w:sz w:val="24"/>
          <w:szCs w:val="24"/>
          <w:lang w:val="en-US" w:eastAsia="zh-CN"/>
        </w:rPr>
        <w:instrText xml:space="preserve"> = 1 \* GB3 \* MERGEFORMAT </w:instrText>
      </w:r>
      <w:r>
        <w:rPr>
          <w:rFonts w:hint="eastAsia" w:asciiTheme="minorEastAsia" w:hAnsiTheme="minorEastAsia"/>
          <w:sz w:val="24"/>
          <w:szCs w:val="24"/>
          <w:lang w:val="en-US" w:eastAsia="zh-CN"/>
        </w:rPr>
        <w:fldChar w:fldCharType="separate"/>
      </w:r>
      <w:r>
        <w:t>①</w:t>
      </w:r>
      <w:r>
        <w:rPr>
          <w:rFonts w:hint="eastAsia" w:asciiTheme="minorEastAsia" w:hAnsiTheme="minorEastAsia"/>
          <w:sz w:val="24"/>
          <w:szCs w:val="24"/>
          <w:lang w:val="en-US" w:eastAsia="zh-CN"/>
        </w:rPr>
        <w:fldChar w:fldCharType="end"/>
      </w:r>
      <w:r>
        <w:rPr>
          <w:rFonts w:hint="eastAsia" w:asciiTheme="minorEastAsia" w:hAnsiTheme="minorEastAsia"/>
          <w:sz w:val="24"/>
          <w:szCs w:val="24"/>
          <w:lang w:val="en-US" w:eastAsia="zh-CN"/>
        </w:rPr>
        <w:t>冬季校园红萝卜空心成因的调查研究；</w:t>
      </w:r>
      <w:r>
        <w:rPr>
          <w:rFonts w:hint="eastAsia" w:asciiTheme="minorEastAsia" w:hAnsiTheme="minorEastAsia"/>
          <w:sz w:val="24"/>
          <w:szCs w:val="24"/>
          <w:lang w:val="en-US" w:eastAsia="zh-CN"/>
        </w:rPr>
        <w:fldChar w:fldCharType="begin"/>
      </w:r>
      <w:r>
        <w:rPr>
          <w:rFonts w:hint="eastAsia" w:asciiTheme="minorEastAsia" w:hAnsiTheme="minorEastAsia"/>
          <w:sz w:val="24"/>
          <w:szCs w:val="24"/>
          <w:lang w:val="en-US" w:eastAsia="zh-CN"/>
        </w:rPr>
        <w:instrText xml:space="preserve"> = 2 \* GB3 \* MERGEFORMAT </w:instrText>
      </w:r>
      <w:r>
        <w:rPr>
          <w:rFonts w:hint="eastAsia" w:asciiTheme="minorEastAsia" w:hAnsiTheme="minorEastAsia"/>
          <w:sz w:val="24"/>
          <w:szCs w:val="24"/>
          <w:lang w:val="en-US" w:eastAsia="zh-CN"/>
        </w:rPr>
        <w:fldChar w:fldCharType="separate"/>
      </w:r>
      <w:r>
        <w:t>②</w:t>
      </w:r>
      <w:r>
        <w:rPr>
          <w:rFonts w:hint="eastAsia" w:asciiTheme="minorEastAsia" w:hAnsiTheme="minorEastAsia"/>
          <w:sz w:val="24"/>
          <w:szCs w:val="24"/>
          <w:lang w:val="en-US" w:eastAsia="zh-CN"/>
        </w:rPr>
        <w:fldChar w:fldCharType="end"/>
      </w:r>
      <w:r>
        <w:rPr>
          <w:rFonts w:hint="eastAsia" w:asciiTheme="minorEastAsia" w:hAnsiTheme="minorEastAsia"/>
          <w:sz w:val="24"/>
          <w:szCs w:val="24"/>
          <w:lang w:val="en-US" w:eastAsia="zh-CN"/>
        </w:rPr>
        <w:t>校园萝卜空心成因的研究；</w:t>
      </w:r>
      <w:r>
        <w:rPr>
          <w:rFonts w:hint="eastAsia" w:asciiTheme="minorEastAsia" w:hAnsiTheme="minorEastAsia"/>
          <w:sz w:val="24"/>
          <w:szCs w:val="24"/>
          <w:lang w:val="en-US" w:eastAsia="zh-CN"/>
        </w:rPr>
        <w:fldChar w:fldCharType="begin"/>
      </w:r>
      <w:r>
        <w:rPr>
          <w:rFonts w:hint="eastAsia" w:asciiTheme="minorEastAsia" w:hAnsiTheme="minorEastAsia"/>
          <w:sz w:val="24"/>
          <w:szCs w:val="24"/>
          <w:lang w:val="en-US" w:eastAsia="zh-CN"/>
        </w:rPr>
        <w:instrText xml:space="preserve"> = 3 \* GB3 \* MERGEFORMAT </w:instrText>
      </w:r>
      <w:r>
        <w:rPr>
          <w:rFonts w:hint="eastAsia" w:asciiTheme="minorEastAsia" w:hAnsiTheme="minorEastAsia"/>
          <w:sz w:val="24"/>
          <w:szCs w:val="24"/>
          <w:lang w:val="en-US" w:eastAsia="zh-CN"/>
        </w:rPr>
        <w:fldChar w:fldCharType="separate"/>
      </w:r>
      <w:r>
        <w:t>③</w:t>
      </w:r>
      <w:r>
        <w:rPr>
          <w:rFonts w:hint="eastAsia" w:asciiTheme="minorEastAsia" w:hAnsiTheme="minorEastAsia"/>
          <w:sz w:val="24"/>
          <w:szCs w:val="24"/>
          <w:lang w:val="en-US" w:eastAsia="zh-CN"/>
        </w:rPr>
        <w:fldChar w:fldCharType="end"/>
      </w:r>
      <w:r>
        <w:rPr>
          <w:rFonts w:hint="eastAsia" w:asciiTheme="minorEastAsia" w:hAnsiTheme="minorEastAsia"/>
          <w:sz w:val="24"/>
          <w:szCs w:val="24"/>
          <w:lang w:val="en-US" w:eastAsia="zh-CN"/>
        </w:rPr>
        <w:t>校园红萝卜为什么会空心？。在比较学生容易发现第一个表述更为完整，更规范，能让人清晰知道研究的对象、内容及方法。需要特别提醒的是，课题中的方法并不是研究中的唯一方法。</w:t>
      </w:r>
    </w:p>
    <w:p>
      <w:pPr>
        <w:spacing w:line="360" w:lineRule="auto"/>
        <w:ind w:firstLine="482" w:firstLineChars="200"/>
        <w:jc w:val="both"/>
        <w:rPr>
          <w:rFonts w:hint="eastAsia" w:asciiTheme="minorEastAsia" w:hAnsiTheme="minorEastAsia"/>
          <w:b/>
          <w:bCs/>
          <w:sz w:val="24"/>
          <w:szCs w:val="24"/>
          <w:lang w:val="en-US" w:eastAsia="zh-CN"/>
        </w:rPr>
      </w:pPr>
      <w:r>
        <w:rPr>
          <w:rFonts w:hint="eastAsia" w:asciiTheme="minorEastAsia" w:hAnsiTheme="minorEastAsia"/>
          <w:b/>
          <w:bCs/>
          <w:sz w:val="24"/>
          <w:szCs w:val="24"/>
          <w:lang w:val="en-US" w:eastAsia="zh-CN"/>
        </w:rPr>
        <w:t>三、出“圈”，指导学生选得好</w:t>
      </w:r>
    </w:p>
    <w:p>
      <w:pPr>
        <w:spacing w:line="360" w:lineRule="auto"/>
        <w:ind w:firstLine="480" w:firstLineChars="200"/>
        <w:jc w:val="both"/>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当学生能够从生活中发现问题、提出问题、形成课题，说明学生已经具备了一定的问题意识。此时，教师需要在选题上引导学生从“会选”过渡到“选好”。</w:t>
      </w:r>
    </w:p>
    <w:p>
      <w:pPr>
        <w:spacing w:line="360" w:lineRule="auto"/>
        <w:ind w:firstLine="482" w:firstLineChars="200"/>
        <w:jc w:val="both"/>
        <w:rPr>
          <w:rFonts w:hint="default" w:asciiTheme="minorEastAsia" w:hAnsiTheme="minorEastAsia"/>
          <w:b/>
          <w:bCs/>
          <w:sz w:val="24"/>
          <w:szCs w:val="24"/>
          <w:lang w:val="en-US" w:eastAsia="zh-CN"/>
        </w:rPr>
      </w:pPr>
      <w:r>
        <w:rPr>
          <w:rFonts w:hint="eastAsia" w:asciiTheme="minorEastAsia" w:hAnsiTheme="minorEastAsia"/>
          <w:b/>
          <w:bCs/>
          <w:sz w:val="24"/>
          <w:szCs w:val="24"/>
          <w:lang w:val="en-US" w:eastAsia="zh-CN"/>
        </w:rPr>
        <w:t>1.指导学生判断选题的价值</w:t>
      </w:r>
    </w:p>
    <w:p>
      <w:pPr>
        <w:spacing w:line="360" w:lineRule="auto"/>
        <w:ind w:firstLine="480"/>
        <w:jc w:val="both"/>
        <w:rPr>
          <w:rFonts w:hint="default" w:ascii="宋体" w:hAnsi="宋体" w:cs="宋体"/>
          <w:color w:val="auto"/>
          <w:sz w:val="24"/>
          <w:lang w:val="en-US" w:eastAsia="zh-CN"/>
        </w:rPr>
      </w:pPr>
      <w:r>
        <w:rPr>
          <w:rFonts w:hint="eastAsia" w:ascii="宋体" w:hAnsi="宋体" w:cs="宋体"/>
          <w:color w:val="auto"/>
          <w:sz w:val="24"/>
          <w:lang w:val="en-US" w:eastAsia="zh-CN"/>
        </w:rPr>
        <w:t>选题的价值将直接决定整个研究性学习的价值，而选题的价值又是由问题的价值决定。那么该如何判断问题的价值呢？</w:t>
      </w:r>
    </w:p>
    <w:p>
      <w:pPr>
        <w:spacing w:line="360" w:lineRule="auto"/>
        <w:ind w:firstLine="480"/>
        <w:jc w:val="both"/>
        <w:rPr>
          <w:rFonts w:hint="eastAsia" w:ascii="宋体" w:hAnsi="宋体" w:cs="宋体"/>
          <w:color w:val="auto"/>
          <w:sz w:val="24"/>
          <w:lang w:val="en-US" w:eastAsia="zh-CN"/>
        </w:rPr>
      </w:pPr>
      <w:r>
        <w:rPr>
          <w:rFonts w:hint="eastAsia" w:ascii="宋体" w:hAnsi="宋体" w:cs="宋体"/>
          <w:color w:val="auto"/>
          <w:sz w:val="24"/>
          <w:lang w:val="en-US" w:eastAsia="zh-CN"/>
        </w:rPr>
        <w:t>其一，是对问题本身价值的判断。首先，该问题应该是一个真实的问题，即在自己真实的生活中所遇到的问题，而不是凭空想像的一个问题。其次，该问题是不是通过上网搜一搜资料，就能得到全部答案。如果能，这样的问题就缺少了研究价值，基于此问题产生的选题便没有价值。第三，该问题具有实践指导的价值，即通过对该问题的研究，能够得出一定的结论，更新自我的认知，对生活具有一定的指导作用。</w:t>
      </w:r>
    </w:p>
    <w:p>
      <w:pPr>
        <w:numPr>
          <w:ilvl w:val="0"/>
          <w:numId w:val="0"/>
        </w:numPr>
        <w:spacing w:line="360" w:lineRule="auto"/>
        <w:ind w:firstLine="480" w:firstLineChars="200"/>
        <w:jc w:val="both"/>
        <w:rPr>
          <w:rFonts w:hint="eastAsia" w:ascii="宋体" w:hAnsi="宋体" w:eastAsia="宋体" w:cs="宋体"/>
          <w:b/>
          <w:bCs/>
          <w:sz w:val="24"/>
          <w:szCs w:val="24"/>
          <w:lang w:val="en-US" w:eastAsia="zh-CN"/>
        </w:rPr>
      </w:pPr>
      <w:r>
        <w:rPr>
          <w:rFonts w:hint="eastAsia" w:ascii="宋体" w:hAnsi="宋体" w:cs="宋体"/>
          <w:color w:val="auto"/>
          <w:sz w:val="24"/>
          <w:lang w:val="en-US" w:eastAsia="zh-CN"/>
        </w:rPr>
        <w:t>其二，是问题对自我发展价值的判断，即基于此问题产生的课题研究是否能够进行</w:t>
      </w:r>
      <w:r>
        <w:rPr>
          <w:rFonts w:ascii="宋体" w:hAnsi="宋体" w:eastAsia="宋体" w:cs="宋体"/>
          <w:sz w:val="24"/>
          <w:szCs w:val="24"/>
        </w:rPr>
        <w:t>实践体验</w:t>
      </w:r>
      <w:r>
        <w:rPr>
          <w:rFonts w:hint="eastAsia" w:ascii="宋体" w:hAnsi="宋体" w:eastAsia="宋体" w:cs="宋体"/>
          <w:sz w:val="24"/>
          <w:szCs w:val="24"/>
          <w:lang w:eastAsia="zh-CN"/>
        </w:rPr>
        <w:t>，</w:t>
      </w:r>
      <w:r>
        <w:rPr>
          <w:rFonts w:ascii="宋体" w:hAnsi="宋体" w:eastAsia="宋体" w:cs="宋体"/>
          <w:sz w:val="24"/>
          <w:szCs w:val="24"/>
        </w:rPr>
        <w:t>培养</w:t>
      </w:r>
      <w:r>
        <w:rPr>
          <w:rFonts w:hint="eastAsia" w:ascii="宋体" w:hAnsi="宋体" w:eastAsia="宋体" w:cs="宋体"/>
          <w:sz w:val="24"/>
          <w:szCs w:val="24"/>
          <w:lang w:val="en-US" w:eastAsia="zh-CN"/>
        </w:rPr>
        <w:t>自己</w:t>
      </w:r>
      <w:r>
        <w:rPr>
          <w:rFonts w:ascii="宋体" w:hAnsi="宋体" w:eastAsia="宋体" w:cs="宋体"/>
          <w:sz w:val="24"/>
          <w:szCs w:val="24"/>
        </w:rPr>
        <w:t>收集、分析和利用信息的能力</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提升自己创新精神、实践能力。</w:t>
      </w:r>
    </w:p>
    <w:p>
      <w:pPr>
        <w:numPr>
          <w:ilvl w:val="0"/>
          <w:numId w:val="0"/>
        </w:numPr>
        <w:spacing w:line="360" w:lineRule="auto"/>
        <w:ind w:firstLine="482" w:firstLineChars="200"/>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2.指导学生思考选题的可行性</w:t>
      </w:r>
    </w:p>
    <w:p>
      <w:pPr>
        <w:spacing w:line="360" w:lineRule="auto"/>
        <w:ind w:firstLine="480" w:firstLineChars="200"/>
        <w:jc w:val="both"/>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一个好的选题必定是学生能够实际完成的，即学生具备开展和完成该选题的主观条件和客观条件。</w:t>
      </w:r>
    </w:p>
    <w:p>
      <w:pPr>
        <w:spacing w:line="360" w:lineRule="auto"/>
        <w:ind w:firstLine="480" w:firstLineChars="200"/>
        <w:jc w:val="both"/>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所谓主观条件，首先指学生能够依靠自身的知识结构或者调动身边的资源，具备开展和完成选题的能力。其次，因为研究性学习是小组性的活动，所以需要考虑不同学生的兴趣、社会技能。如小组成员是否都对此选题感兴趣，是否愿意承担某种角色？</w:t>
      </w:r>
    </w:p>
    <w:p>
      <w:pPr>
        <w:spacing w:line="360" w:lineRule="auto"/>
        <w:ind w:firstLine="480" w:firstLineChars="200"/>
        <w:jc w:val="both"/>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客观条件主要指的是学生在开展此选题研究时，是否能够得到专业人士的指导，有可供开展的研究场域，有充足的时间保障。如想要开展“冬季校园红萝卜空心成因的调查研究”，学生身边至少有农业生产方面的专家，学生可以向他们请教，获得真实的一手资料。</w:t>
      </w:r>
    </w:p>
    <w:p>
      <w:pPr>
        <w:spacing w:line="360" w:lineRule="auto"/>
        <w:ind w:firstLine="480" w:firstLineChars="200"/>
        <w:jc w:val="both"/>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因此，当学生选择自己感兴趣的主题后，教师需要指导学生从主客观因素出发，思考自己与小组成员能否顺利开展主题研究，如果条件不允许，需要更换主题。</w:t>
      </w:r>
    </w:p>
    <w:p>
      <w:pPr>
        <w:spacing w:line="360" w:lineRule="auto"/>
        <w:ind w:firstLine="482" w:firstLineChars="200"/>
        <w:jc w:val="both"/>
        <w:rPr>
          <w:rFonts w:hint="default" w:asciiTheme="minorEastAsia" w:hAnsiTheme="minorEastAsia"/>
          <w:b/>
          <w:bCs/>
          <w:sz w:val="24"/>
          <w:szCs w:val="24"/>
          <w:lang w:val="en-US" w:eastAsia="zh-CN"/>
        </w:rPr>
      </w:pPr>
      <w:r>
        <w:rPr>
          <w:rFonts w:hint="eastAsia" w:asciiTheme="minorEastAsia" w:hAnsiTheme="minorEastAsia"/>
          <w:b/>
          <w:bCs/>
          <w:sz w:val="24"/>
          <w:szCs w:val="24"/>
          <w:lang w:val="en-US" w:eastAsia="zh-CN"/>
        </w:rPr>
        <w:t>3.指导学生关注选题是否新颖</w:t>
      </w:r>
    </w:p>
    <w:p>
      <w:pPr>
        <w:spacing w:line="360" w:lineRule="auto"/>
        <w:ind w:firstLine="480" w:firstLineChars="200"/>
        <w:jc w:val="both"/>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新颖性研究性学习选题指导的最高标准，能够给人带来一定的启发和思考。如何才能确保选题的新颖呢？</w:t>
      </w:r>
    </w:p>
    <w:p>
      <w:pPr>
        <w:spacing w:line="360" w:lineRule="auto"/>
        <w:ind w:firstLine="480" w:firstLineChars="200"/>
        <w:jc w:val="both"/>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首先，挖掘热点话题，确定选题。选择当下的热点话题，必定不会出现“炒冷饭”的情况。如在课后服务政策刚刚出来，学生确定的课题“虹景小学小学学生课后服务能量补给的调查研究”一定是紧跟潮流，十分新颖的。</w:t>
      </w:r>
    </w:p>
    <w:p>
      <w:pPr>
        <w:spacing w:line="360" w:lineRule="auto"/>
        <w:ind w:firstLine="480" w:firstLineChars="200"/>
        <w:jc w:val="both"/>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其次，旧话题，新视角，确定选题。对于一些别人已经研究过的话题，可以从不同的角度切入，开展研究。如“预防春季传染病”的话题每年都会谈，如果依旧从传染病的类型、症状、预防的途径着手，就是炒冷饭，此时此刻如果从家庭常备药为切入口，确定的课题“传染病来袭，不怕不怕---虹景小学家庭常备药的调查研究”依旧是比较新颖的。</w:t>
      </w:r>
    </w:p>
    <w:p>
      <w:pPr>
        <w:spacing w:line="360" w:lineRule="auto"/>
        <w:ind w:firstLine="480" w:firstLineChars="200"/>
        <w:jc w:val="both"/>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最后，基于校本特色，确定选题。每个学校都有自己的特色文化，学生若能基于此充分挖掘，形成的课题也一定是新颖的。如水仙是我校的特色文化，学生确定的课题“水仙雕刻技法的实践研究”、“水仙义卖活动策划的研究”就具有一定的新颖性。</w:t>
      </w:r>
    </w:p>
    <w:p>
      <w:pPr>
        <w:spacing w:line="360" w:lineRule="auto"/>
        <w:rPr>
          <w:rFonts w:hint="eastAsia"/>
          <w:b w:val="0"/>
          <w:bCs w:val="0"/>
          <w:kern w:val="0"/>
          <w:sz w:val="21"/>
          <w:szCs w:val="21"/>
        </w:rPr>
      </w:pPr>
      <w:r>
        <w:rPr>
          <w:rFonts w:hint="eastAsia" w:ascii="黑体" w:hAnsi="黑体" w:eastAsia="黑体" w:cs="宋体"/>
          <w:b/>
          <w:kern w:val="0"/>
          <w:szCs w:val="21"/>
        </w:rPr>
        <w:t>【参考文献】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w:t>
      </w:r>
      <w:r>
        <w:rPr>
          <w:rFonts w:hint="eastAsia" w:asciiTheme="minorEastAsia" w:hAnsiTheme="minorEastAsia" w:cstheme="minorEastAsia"/>
          <w:b w:val="0"/>
          <w:bCs w:val="0"/>
          <w:kern w:val="0"/>
          <w:sz w:val="21"/>
          <w:szCs w:val="21"/>
          <w:lang w:val="en-US" w:eastAsia="zh-CN"/>
        </w:rPr>
        <w:t>1</w:t>
      </w:r>
      <w:r>
        <w:rPr>
          <w:rFonts w:hint="eastAsia" w:asciiTheme="minorEastAsia" w:hAnsiTheme="minorEastAsia" w:eastAsiaTheme="minorEastAsia" w:cstheme="minorEastAsia"/>
          <w:b w:val="0"/>
          <w:bCs w:val="0"/>
          <w:kern w:val="0"/>
          <w:sz w:val="21"/>
          <w:szCs w:val="21"/>
          <w:lang w:val="en-US" w:eastAsia="zh-CN"/>
        </w:rPr>
        <w:t>]陈式如. 研究性学习选题指导课的路径化设计[J]. 教学与管理：中学版, 2017(9):3.</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w:t>
      </w:r>
      <w:r>
        <w:rPr>
          <w:rFonts w:hint="eastAsia" w:asciiTheme="minorEastAsia" w:hAnsiTheme="minorEastAsia" w:cstheme="minorEastAsia"/>
          <w:b w:val="0"/>
          <w:bCs w:val="0"/>
          <w:kern w:val="0"/>
          <w:sz w:val="21"/>
          <w:szCs w:val="21"/>
          <w:lang w:val="en-US" w:eastAsia="zh-CN"/>
        </w:rPr>
        <w:t>2</w:t>
      </w:r>
      <w:r>
        <w:rPr>
          <w:rFonts w:hint="eastAsia" w:asciiTheme="minorEastAsia" w:hAnsiTheme="minorEastAsia" w:eastAsiaTheme="minorEastAsia" w:cstheme="minorEastAsia"/>
          <w:b w:val="0"/>
          <w:bCs w:val="0"/>
          <w:kern w:val="0"/>
          <w:sz w:val="21"/>
          <w:szCs w:val="21"/>
          <w:lang w:val="en-US" w:eastAsia="zh-CN"/>
        </w:rPr>
        <w:t>]邵朝友,杨正刚.小学阶段研究性学习课程中的选题指导[J]. 当代教育科学, 2010(4):5.</w:t>
      </w:r>
    </w:p>
    <w:p>
      <w:pPr>
        <w:spacing w:line="360" w:lineRule="auto"/>
        <w:jc w:val="both"/>
        <w:rPr>
          <w:rFonts w:hint="default" w:asciiTheme="minorEastAsia" w:hAnsiTheme="minor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zY2M3NjM5OTQ1MTVhOGQzZmM2ZTE1YjgzZDQ2NjIifQ=="/>
  </w:docVars>
  <w:rsids>
    <w:rsidRoot w:val="00000000"/>
    <w:rsid w:val="020C008E"/>
    <w:rsid w:val="029F0F02"/>
    <w:rsid w:val="05E337FC"/>
    <w:rsid w:val="08801A0B"/>
    <w:rsid w:val="094D16B8"/>
    <w:rsid w:val="0A3E7253"/>
    <w:rsid w:val="0A634F0B"/>
    <w:rsid w:val="0ABE2142"/>
    <w:rsid w:val="0D0A78C0"/>
    <w:rsid w:val="0E2844A2"/>
    <w:rsid w:val="13347445"/>
    <w:rsid w:val="13441D7E"/>
    <w:rsid w:val="14AF1479"/>
    <w:rsid w:val="14B96462"/>
    <w:rsid w:val="17877452"/>
    <w:rsid w:val="18980476"/>
    <w:rsid w:val="18B01E98"/>
    <w:rsid w:val="19874772"/>
    <w:rsid w:val="1C6B037B"/>
    <w:rsid w:val="1C754F5F"/>
    <w:rsid w:val="1DF47EFC"/>
    <w:rsid w:val="1E831280"/>
    <w:rsid w:val="21C22C4A"/>
    <w:rsid w:val="23D305B4"/>
    <w:rsid w:val="25565941"/>
    <w:rsid w:val="267E04A8"/>
    <w:rsid w:val="26F86CAF"/>
    <w:rsid w:val="27BA55A2"/>
    <w:rsid w:val="292A6EC8"/>
    <w:rsid w:val="292D6D18"/>
    <w:rsid w:val="29DA6B40"/>
    <w:rsid w:val="2DB15E0A"/>
    <w:rsid w:val="2DCF6290"/>
    <w:rsid w:val="2DFE0923"/>
    <w:rsid w:val="303F594F"/>
    <w:rsid w:val="33353A38"/>
    <w:rsid w:val="338E62A6"/>
    <w:rsid w:val="3434509F"/>
    <w:rsid w:val="35A83CC7"/>
    <w:rsid w:val="36B424C7"/>
    <w:rsid w:val="373A6E70"/>
    <w:rsid w:val="37BE184F"/>
    <w:rsid w:val="37BE5C6F"/>
    <w:rsid w:val="3A950A96"/>
    <w:rsid w:val="3BF53949"/>
    <w:rsid w:val="3CA06544"/>
    <w:rsid w:val="3CCC15BB"/>
    <w:rsid w:val="3D4A5933"/>
    <w:rsid w:val="3E467EA9"/>
    <w:rsid w:val="3EE576C2"/>
    <w:rsid w:val="402842AD"/>
    <w:rsid w:val="42F06635"/>
    <w:rsid w:val="43C71A8C"/>
    <w:rsid w:val="442B201A"/>
    <w:rsid w:val="445C6678"/>
    <w:rsid w:val="448D7509"/>
    <w:rsid w:val="46CE2B3F"/>
    <w:rsid w:val="4907292A"/>
    <w:rsid w:val="491A440C"/>
    <w:rsid w:val="49AE2DA6"/>
    <w:rsid w:val="4A1B043B"/>
    <w:rsid w:val="4BC66ACD"/>
    <w:rsid w:val="4BD60EB8"/>
    <w:rsid w:val="4CC823D1"/>
    <w:rsid w:val="4E643CA3"/>
    <w:rsid w:val="4EEC05F8"/>
    <w:rsid w:val="4F02308E"/>
    <w:rsid w:val="50485D02"/>
    <w:rsid w:val="50A05B3E"/>
    <w:rsid w:val="50A373DC"/>
    <w:rsid w:val="57D04F5B"/>
    <w:rsid w:val="58647451"/>
    <w:rsid w:val="59965D30"/>
    <w:rsid w:val="5A060B80"/>
    <w:rsid w:val="5A1530F9"/>
    <w:rsid w:val="5CD86895"/>
    <w:rsid w:val="5E492466"/>
    <w:rsid w:val="5EFA28BD"/>
    <w:rsid w:val="62724E61"/>
    <w:rsid w:val="627E55B4"/>
    <w:rsid w:val="638C3D00"/>
    <w:rsid w:val="63C06071"/>
    <w:rsid w:val="65293EFC"/>
    <w:rsid w:val="66A55805"/>
    <w:rsid w:val="67340937"/>
    <w:rsid w:val="68262975"/>
    <w:rsid w:val="687C07E7"/>
    <w:rsid w:val="68FD58FB"/>
    <w:rsid w:val="6A5C267E"/>
    <w:rsid w:val="6AD50E20"/>
    <w:rsid w:val="6D8E6FF3"/>
    <w:rsid w:val="6FBC771B"/>
    <w:rsid w:val="6FC0720B"/>
    <w:rsid w:val="6FDC1B6B"/>
    <w:rsid w:val="710E3FA6"/>
    <w:rsid w:val="712E63F7"/>
    <w:rsid w:val="74067D34"/>
    <w:rsid w:val="740C0C71"/>
    <w:rsid w:val="77865413"/>
    <w:rsid w:val="78F10436"/>
    <w:rsid w:val="7AE30252"/>
    <w:rsid w:val="7B825CBD"/>
    <w:rsid w:val="7C19719E"/>
    <w:rsid w:val="7E3C1906"/>
    <w:rsid w:val="7E464D80"/>
    <w:rsid w:val="7EB10D93"/>
    <w:rsid w:val="7F8A5140"/>
    <w:rsid w:val="7FFD2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4583</Words>
  <Characters>4643</Characters>
  <Lines>0</Lines>
  <Paragraphs>0</Paragraphs>
  <TotalTime>19</TotalTime>
  <ScaleCrop>false</ScaleCrop>
  <LinksUpToDate>false</LinksUpToDate>
  <CharactersWithSpaces>4668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2023-02-11T04:35:00Z</dcterms:created>
  <dc:creator>Administrator</dc:creator>
  <cp:lastModifiedBy>高卫超</cp:lastModifiedBy>
  <dcterms:modified xsi:type="dcterms:W3CDTF">2023-04-28T13:18:58Z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879CE73124E84BD3A480374F4102D4AC_13</vt:lpwstr>
  </property>
</Properties>
</file>