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Style w:val="2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948"/>
        <w:gridCol w:w="3827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081" w:type="dxa"/>
            <w:gridSpan w:val="4"/>
            <w:noWrap w:val="0"/>
            <w:vAlign w:val="top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市区骨干班主任、二级教师                    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A类（教学）  市区新秀、能手   市区骨干   市区学带    市特后   省特级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B类（教育）  市区骨干班主任  市区高级班主任   市区特级班主任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C类（职称） 二级教师    一级教师    高级教师   正高级教师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  <w:noWrap w:val="0"/>
            <w:vAlign w:val="top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1948" w:type="dxa"/>
            <w:noWrap w:val="0"/>
            <w:vAlign w:val="top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校级公开课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1、认真备课、上课。2、认真对待学生的作业。3、积极听课。 4、虚心请教其他老师。 5、不断提升自我素养。  6、承担学校工作。7、关心学生。</w:t>
            </w:r>
          </w:p>
        </w:tc>
        <w:tc>
          <w:tcPr>
            <w:tcW w:w="2838" w:type="dxa"/>
            <w:noWrap w:val="0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每学期组内展示课一次。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参与组内项目活动。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区级公开课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发表论文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用心备课、上课。2、学科课堂技能是立足讲台的关键，要善于在教育教学实践中发现问题、分析问题，总结经验。3、用心听课：在听学校优秀教师课的前提下，向周边学校优秀教师学习，进行各种教育教学培训进修。4、继续在各方面虚心请教其他老师。5、继续抓紧时间自学：除了阅读经典教育文学名著外，还可通过阅读优秀教师的优秀教案，教育家的学术论文来提高目己的理论水平。</w:t>
            </w:r>
          </w:p>
          <w:p>
            <w:pPr>
              <w:spacing w:line="300" w:lineRule="exact"/>
              <w:rPr>
                <w:rFonts w:hint="eastAsia" w:ascii="宋体" w:hAnsi="宋体" w:cs="宋体"/>
                <w:color w:val="333333"/>
                <w:kern w:val="0"/>
              </w:rPr>
            </w:pPr>
          </w:p>
        </w:tc>
        <w:tc>
          <w:tcPr>
            <w:tcW w:w="2838" w:type="dxa"/>
            <w:noWrap w:val="0"/>
            <w:vAlign w:val="top"/>
          </w:tcPr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教学研究文章一篇，多写文稿与组内教师交流探讨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成为教坛新秀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1、加强自身师德修养2、在保证课堂有效性的前提下，课中有准备地将某种理论应用到课堂中，观察学生的反应，课后做好总结工作。   3、继续保持自学以及虚心请教他人的习惯。4、通过观课评课，汇总其创新，为确立自己教学风格做指导，发挥优势。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5、积极完成学校任务，为学校提出有建设性的意见。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6、关爱学生，通过开展活动适当为学生减压。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83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202</w:t>
      </w:r>
      <w:r>
        <w:rPr>
          <w:rFonts w:ascii="黑体" w:hAnsi="黑体" w:eastAsia="黑体" w:cs="黑体"/>
          <w:b/>
          <w:sz w:val="28"/>
          <w:szCs w:val="28"/>
        </w:rPr>
        <w:t>3</w:t>
      </w:r>
      <w:r>
        <w:rPr>
          <w:rFonts w:hint="eastAsia" w:ascii="黑体" w:hAnsi="黑体" w:eastAsia="黑体" w:cs="黑体"/>
          <w:b/>
          <w:sz w:val="28"/>
          <w:szCs w:val="28"/>
        </w:rPr>
        <w:t>.9-202</w:t>
      </w:r>
      <w:r>
        <w:rPr>
          <w:rFonts w:ascii="黑体" w:hAnsi="黑体" w:eastAsia="黑体" w:cs="黑体"/>
          <w:b/>
          <w:sz w:val="28"/>
          <w:szCs w:val="28"/>
        </w:rPr>
        <w:t>4</w:t>
      </w:r>
      <w:r>
        <w:rPr>
          <w:rFonts w:hint="eastAsia" w:ascii="黑体" w:hAnsi="黑体" w:eastAsia="黑体" w:cs="黑体"/>
          <w:b/>
          <w:sz w:val="28"/>
          <w:szCs w:val="28"/>
        </w:rPr>
        <w:t>.6个人成长计划</w:t>
      </w:r>
    </w:p>
    <w:tbl>
      <w:tblPr>
        <w:tblStyle w:val="2"/>
        <w:tblW w:w="9075" w:type="dxa"/>
        <w:tblInd w:w="-2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075" w:type="dxa"/>
            <w:noWrap w:val="0"/>
            <w:vAlign w:val="top"/>
          </w:tcPr>
          <w:p>
            <w:pPr>
              <w:spacing w:line="300" w:lineRule="exact"/>
            </w:pPr>
            <w:r>
              <w:rPr>
                <w:rFonts w:hint="eastAsia"/>
              </w:rPr>
              <w:t>1、学习《教师的挑战——宁静的课堂革命》、《为品格而教》等丰富自己的知识储备，随时写教学随笔，记录下体会和收获。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2、积极参加教师继续教育学习和各类教研活动。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3、参加在职学历教育和非学历教育。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300" w:lineRule="exact"/>
            </w:pPr>
            <w:r>
              <w:rPr>
                <w:rFonts w:hint="eastAsia"/>
              </w:rPr>
              <w:t xml:space="preserve"> 研究“引导自学型”课堂，教师由知识的传授者转变为学生学习的引导者，让学生成为课堂的主人。每节课都在充分挖掘课本重难点和了解学情的基础上，认真设计“引导自学型”课堂的自学重点。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3.团队建设（带领的团队或徒弟、学校项目承担什么）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907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在团队中承担应尽的义务与责任，做到互帮，互助共同成长发展。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075" w:type="dxa"/>
            <w:noWrap w:val="0"/>
            <w:vAlign w:val="top"/>
          </w:tcPr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1．研读课标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研读《</w:t>
            </w:r>
            <w:r>
              <w:rPr>
                <w:rFonts w:hint="eastAsia" w:ascii="等线" w:eastAsia="等线"/>
                <w:lang w:val="en-US" w:eastAsia="zh-CN"/>
              </w:rPr>
              <w:t>语文</w:t>
            </w:r>
            <w:r>
              <w:rPr>
                <w:rFonts w:hint="eastAsia"/>
              </w:rPr>
              <w:t>课程标准》中各阶段目标要求，以便准确把握各学段教学目标。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2．钻研教材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钻研梳理本学段教材内容，整理归类，以便准确把握各阶段教学目标。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3．课堂教学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定期向师父学习的同时，把师父请进课堂指导，提高自己的教育教学能力。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4．通过读书丰富内涵　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Arial" w:hAnsi="Arial" w:cs="Arial"/>
                <w:color w:val="323232"/>
                <w:kern w:val="0"/>
              </w:rPr>
            </w:pPr>
            <w:r>
              <w:rPr>
                <w:rFonts w:hint="eastAsia"/>
              </w:rPr>
              <w:t>读书让自己能学会享受阅读、享受教育、享受人生，提高生命质量。让阅读伴自己成长。</w:t>
            </w:r>
            <w:r>
              <w:rPr>
                <w:rFonts w:hint="eastAsia" w:ascii="Arial" w:hAnsi="Arial" w:cs="Arial"/>
                <w:color w:val="32323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年    月    日</w:t>
            </w:r>
          </w:p>
        </w:tc>
      </w:tr>
    </w:tbl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  <w:bookmarkStart w:id="0" w:name="_GoBack"/>
      <w:bookmarkEnd w:id="0"/>
    </w:p>
    <w:p>
      <w:pPr>
        <w:spacing w:line="400" w:lineRule="exact"/>
        <w:rPr>
          <w:sz w:val="24"/>
        </w:rPr>
      </w:pPr>
    </w:p>
    <w:p>
      <w:pPr>
        <w:rPr>
          <w:rFonts w:ascii="宋体" w:hAnsi="宋体"/>
          <w:szCs w:val="21"/>
        </w:rPr>
      </w:pPr>
    </w:p>
    <w:p>
      <w:pPr>
        <w:rPr>
          <w:szCs w:val="21"/>
        </w:rPr>
      </w:pPr>
    </w:p>
    <w:p>
      <w:pPr>
        <w:jc w:val="center"/>
        <w:rPr>
          <w:rFonts w:ascii="黑体" w:hAnsi="华文中宋" w:eastAsia="黑体"/>
          <w:b/>
          <w:bCs/>
          <w:sz w:val="28"/>
          <w:szCs w:val="28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761C9C"/>
    <w:rsid w:val="00043AFB"/>
    <w:rsid w:val="0073232C"/>
    <w:rsid w:val="00761C9C"/>
    <w:rsid w:val="00CA1A9C"/>
    <w:rsid w:val="4494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231</Words>
  <Characters>1320</Characters>
  <Lines>11</Lines>
  <Paragraphs>3</Paragraphs>
  <TotalTime>0</TotalTime>
  <ScaleCrop>false</ScaleCrop>
  <LinksUpToDate>false</LinksUpToDate>
  <CharactersWithSpaces>1548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2023-12-12T12:04:00Z</dcterms:created>
  <dc:creator>1317403626@qq.com</dc:creator>
  <cp:lastModifiedBy>薄荷＆柠檬</cp:lastModifiedBy>
  <dcterms:modified xsi:type="dcterms:W3CDTF">2023-12-12T12:38:55Z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2023-12-12T12:03:44Z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602b03a9-8f47-4336-ae9e-472e7bb27843</vt:lpwstr>
  </property>
  <property fmtid="{D5CDD505-2E9C-101B-9397-08002B2CF9AE}" pid="7" name="MSIP_Label_defa4170-0d19-0005-0004-bc88714345d2_ActionId">
    <vt:lpwstr>8919b891-9d26-4884-9d03-fdb07a3ea1bf</vt:lpwstr>
  </property>
  <property fmtid="{D5CDD505-2E9C-101B-9397-08002B2CF9AE}" pid="8" name="MSIP_Label_defa4170-0d19-0005-0004-bc88714345d2_ContentBits">
    <vt:lpwstr>0</vt:lpwstr>
  </property>
  <property fmtid="{D5CDD505-2E9C-101B-9397-08002B2CF9AE}" pid="9" name="KSOProductBuildVer">
    <vt:lpwstr>2052-12.1.0.15990</vt:lpwstr>
  </property>
  <property fmtid="{D5CDD505-2E9C-101B-9397-08002B2CF9AE}" pid="10" name="ICV">
    <vt:lpwstr>43FCE8F0A14D43AC98F5597A91936347_13</vt:lpwstr>
  </property>
</Properties>
</file>