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3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6</w:t>
      </w:r>
      <w:r>
        <w:rPr>
          <w:rFonts w:hint="eastAsia" w:ascii="隶书" w:eastAsia="隶书"/>
          <w:b/>
          <w:sz w:val="28"/>
          <w:szCs w:val="28"/>
        </w:rPr>
        <w:t>.</w:t>
      </w:r>
      <w:r>
        <w:rPr>
          <w:rFonts w:ascii="隶书" w:eastAsia="隶书"/>
          <w:b/>
          <w:sz w:val="28"/>
          <w:szCs w:val="28"/>
        </w:rPr>
        <w:t>8</w:t>
      </w:r>
      <w:r>
        <w:rPr>
          <w:rFonts w:hint="eastAsia" w:ascii="隶书" w:eastAsia="隶书"/>
          <w:b/>
          <w:sz w:val="28"/>
          <w:szCs w:val="28"/>
        </w:rPr>
        <w:t>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3"/>
        <w:tblW w:w="9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2595"/>
      </w:tblGrid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徐泓铭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2595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</w:tr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3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9</w:t>
            </w:r>
          </w:p>
        </w:tc>
      </w:tr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2595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  <w:bookmarkStart w:id="0" w:name="_GoBack"/>
      <w:bookmarkEnd w:id="0"/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3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Layout w:type="fixed"/>
        </w:tblPrEx>
        <w:trPr>
          <w:jc w:val="center"/>
        </w:trPr>
        <w:tc>
          <w:tcPr>
            <w:tcW w:w="9081" w:type="dxa"/>
            <w:gridSpan w:val="4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9081" w:type="dxa"/>
            <w:gridSpan w:val="4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468" w:type="dxa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Layout w:type="fixed"/>
        </w:tblPrEx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参与组内项目活动，负责三次评课与报道。</w:t>
            </w:r>
          </w:p>
        </w:tc>
      </w:tr>
      <w:tr>
        <w:tblPrEx>
          <w:tblLayout w:type="fixed"/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，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top"/>
          </w:tcPr>
          <w:p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Layout w:type="fixed"/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3、继续保持自学以及虚心请教他人的习惯。4、通过观课评课，汇总其创新，为确立自己教学风格做指导，发挥优势。5、积极完成学校任务，为学校提出有建设性的意见。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4</w:t>
      </w:r>
      <w:r>
        <w:rPr>
          <w:rFonts w:hint="eastAsia" w:ascii="黑体" w:hAnsi="黑体" w:eastAsia="黑体" w:cs="黑体"/>
          <w:b/>
          <w:sz w:val="28"/>
          <w:szCs w:val="28"/>
        </w:rPr>
        <w:t>.</w:t>
      </w:r>
      <w:r>
        <w:rPr>
          <w:rFonts w:ascii="黑体" w:hAnsi="黑体" w:eastAsia="黑体" w:cs="黑体"/>
          <w:b/>
          <w:sz w:val="28"/>
          <w:szCs w:val="28"/>
        </w:rPr>
        <w:t>8</w:t>
      </w:r>
      <w:r>
        <w:rPr>
          <w:rFonts w:hint="eastAsia" w:ascii="黑体" w:hAnsi="黑体" w:eastAsia="黑体" w:cs="黑体"/>
          <w:b/>
          <w:sz w:val="28"/>
          <w:szCs w:val="28"/>
        </w:rPr>
        <w:t>个人成长计划</w:t>
      </w:r>
    </w:p>
    <w:tbl>
      <w:tblPr>
        <w:tblStyle w:val="3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Layout w:type="fixed"/>
        </w:tblPrEx>
        <w:trPr>
          <w:trHeight w:val="274" w:hRule="atLeast"/>
        </w:trPr>
        <w:tc>
          <w:tcPr>
            <w:tcW w:w="9075" w:type="dxa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1、学习《音乐学科大单元教学——问答与案例》、《音乐学科教学法概论》等丰富自己的知识储备，随时写教学随笔，记录下体会和收获。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3、参加在职学历教育。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2、完成论文《小学生音乐素养能力培养现状及策略研究》。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Layout w:type="fixed"/>
        </w:tblPrEx>
        <w:trPr>
          <w:trHeight w:val="475" w:hRule="atLeast"/>
        </w:trPr>
        <w:tc>
          <w:tcPr>
            <w:tcW w:w="9075" w:type="dxa"/>
            <w:vAlign w:val="top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Layout w:type="fixed"/>
        </w:tblPrEx>
        <w:trPr>
          <w:trHeight w:val="828" w:hRule="atLeast"/>
        </w:trPr>
        <w:tc>
          <w:tcPr>
            <w:tcW w:w="9075" w:type="dxa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研读《音乐课程标准》中各阶段目标要求，以便准确把握各学段教学目标。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t>5</w:t>
            </w:r>
            <w:r>
              <w:rPr>
                <w:rFonts w:hint="eastAsia"/>
              </w:rPr>
              <w:t>．通过名师课堂视频丰富教学手段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 w:ascii="Arial" w:hAnsi="Arial" w:cs="Arial"/>
                <w:color w:val="323232"/>
                <w:kern w:val="0"/>
              </w:rPr>
              <w:t>观看名师课堂，了解他们在音乐课堂中使用的音乐手段，提高自己的技能储备。</w:t>
            </w:r>
          </w:p>
        </w:tc>
      </w:tr>
      <w:tr>
        <w:tblPrEx>
          <w:tblLayout w:type="fixed"/>
        </w:tblPrEx>
        <w:tc>
          <w:tcPr>
            <w:tcW w:w="9075" w:type="dxa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Layout w:type="fixed"/>
        </w:tblPrEx>
        <w:trPr>
          <w:trHeight w:val="1700" w:hRule="atLeast"/>
        </w:trPr>
        <w:tc>
          <w:tcPr>
            <w:tcW w:w="9075" w:type="dxa"/>
            <w:vAlign w:val="top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Layout w:type="fixed"/>
        </w:tblPrEx>
        <w:trPr>
          <w:trHeight w:val="1215" w:hRule="atLeast"/>
        </w:trPr>
        <w:tc>
          <w:tcPr>
            <w:tcW w:w="9075" w:type="dxa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  日</w:t>
            </w:r>
          </w:p>
        </w:tc>
      </w:tr>
    </w:tbl>
    <w:p>
      <w:pPr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大标宋简体">
    <w:altName w:val="宋体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华文新魏">
    <w:altName w:val="华文新魏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方正超粗黑简体">
    <w:altName w:val="黑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隶书">
    <w:altName w:val="隶书"/>
    <w:panose1 w:val="02010509060101010101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华文中宋"/>
    <w:panose1 w:val="02010600040101010101"/>
    <w:charset w:val="00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16952"/>
    <w:multiLevelType w:val="multilevel"/>
    <w:tmpl w:val="7781695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2023-12-13T03:21:51Z</dcterms:created>
  <dc:creator>iPhone</dc:creator>
  <cp:lastModifiedBy>iPhone</cp:lastModifiedBy>
  <dcterms:modified xsi:type="dcterms:W3CDTF">2023-12-12T20:05:19Z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2052-12.7.0</vt:lpwstr>
  </property>
  <property fmtid="{D5CDD505-2E9C-101B-9397-08002B2CF9AE}" pid="3" name="ICV">
    <vt:lpwstr>D1736C3E09D96C1A4F4278654BD1A607_31</vt:lpwstr>
  </property>
</Properties>
</file>