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877F2" w:rsidRDefault="002877F2">
      <w:pPr>
        <w:widowControl/>
        <w:pBdr>
          <w:top w:val="none" w:sz="0" w:space="0" w:color="auto"/>
          <w:left w:val="none" w:sz="0" w:space="0" w:color="auto"/>
          <w:bottom w:val="none" w:sz="0" w:space="0" w:color="auto"/>
          <w:right w:val="none" w:sz="0" w:space="0" w:color="auto"/>
          <w:between w:val="none" w:sz="0" w:space="0" w:color="auto"/>
        </w:pBdr>
        <w:shd w:val="clear" w:color="000000" w:fill="FFFFFF"/>
        <w:spacing w:before="100" w:beforeAutospacing="1" w:after="100" w:afterAutospacing="1"/>
        <w:jc w:val="left"/>
        <w:rPr>
          <w:rFonts w:ascii="宋体" w:cs="宋体"/>
          <w:color w:val="333333"/>
          <w:sz w:val="24"/>
          <w:szCs w:val="24"/>
        </w:rPr>
      </w:pPr>
      <w:r>
        <w:rPr>
          <w:rFonts w:ascii="宋体" w:hAnsi="宋体" w:cs="宋体" w:hint="eastAsia"/>
          <w:color w:val="333333"/>
          <w:sz w:val="24"/>
          <w:szCs w:val="24"/>
        </w:rPr>
        <w:t>附件：</w:t>
      </w:r>
    </w:p>
    <w:p w:rsidR="002877F2" w:rsidRDefault="002877F2">
      <w:pPr>
        <w:widowControl/>
        <w:pBdr>
          <w:top w:val="none" w:sz="0" w:space="0" w:color="auto"/>
          <w:left w:val="none" w:sz="0" w:space="0" w:color="auto"/>
          <w:bottom w:val="none" w:sz="0" w:space="0" w:color="auto"/>
          <w:right w:val="none" w:sz="0" w:space="0" w:color="auto"/>
          <w:between w:val="none" w:sz="0" w:space="0" w:color="auto"/>
        </w:pBdr>
        <w:shd w:val="clear" w:color="000000" w:fill="FFFFFF"/>
        <w:spacing w:before="100" w:beforeAutospacing="1" w:after="100" w:afterAutospacing="1"/>
        <w:ind w:firstLine="1626"/>
        <w:jc w:val="left"/>
        <w:rPr>
          <w:rFonts w:ascii="宋体" w:cs="宋体"/>
          <w:b/>
          <w:color w:val="333333"/>
          <w:sz w:val="36"/>
          <w:szCs w:val="36"/>
        </w:rPr>
      </w:pPr>
      <w:r>
        <w:rPr>
          <w:rFonts w:ascii="宋体" w:hAnsi="宋体" w:cs="宋体" w:hint="eastAsia"/>
          <w:b/>
          <w:color w:val="333333"/>
          <w:sz w:val="36"/>
          <w:szCs w:val="36"/>
        </w:rPr>
        <w:t>国开学习网教学过程评价表</w:t>
      </w:r>
    </w:p>
    <w:p w:rsidR="002877F2" w:rsidRDefault="002877F2">
      <w:pPr>
        <w:pBdr>
          <w:top w:val="none" w:sz="0" w:space="0" w:color="auto"/>
          <w:left w:val="none" w:sz="0" w:space="0" w:color="auto"/>
          <w:bottom w:val="none" w:sz="0" w:space="0" w:color="auto"/>
          <w:right w:val="none" w:sz="0" w:space="0" w:color="auto"/>
          <w:between w:val="none" w:sz="0" w:space="0" w:color="auto"/>
        </w:pBdr>
        <w:spacing w:line="360" w:lineRule="auto"/>
        <w:rPr>
          <w:rFonts w:ascii="宋体" w:cs="宋体"/>
          <w:kern w:val="1"/>
          <w:sz w:val="28"/>
          <w:szCs w:val="28"/>
        </w:rPr>
      </w:pPr>
      <w:r>
        <w:rPr>
          <w:rFonts w:ascii="宋体" w:hAnsi="宋体" w:cs="宋体"/>
          <w:kern w:val="1"/>
          <w:sz w:val="28"/>
          <w:szCs w:val="28"/>
        </w:rPr>
        <w:t xml:space="preserve">  </w:t>
      </w:r>
      <w:r>
        <w:rPr>
          <w:rFonts w:ascii="宋体" w:hAnsi="宋体" w:cs="宋体" w:hint="eastAsia"/>
          <w:kern w:val="1"/>
          <w:sz w:val="28"/>
          <w:szCs w:val="28"/>
        </w:rPr>
        <w:t>课程</w:t>
      </w:r>
      <w:r>
        <w:rPr>
          <w:rFonts w:ascii="宋体" w:hAnsi="宋体" w:cs="宋体"/>
          <w:kern w:val="1"/>
          <w:sz w:val="28"/>
          <w:szCs w:val="28"/>
        </w:rPr>
        <w:t>____________________</w:t>
      </w:r>
      <w:r>
        <w:rPr>
          <w:rFonts w:ascii="宋体" w:hAnsi="宋体" w:cs="宋体" w:hint="eastAsia"/>
          <w:kern w:val="1"/>
          <w:sz w:val="28"/>
          <w:szCs w:val="28"/>
        </w:rPr>
        <w:t>任教班级</w:t>
      </w:r>
      <w:r>
        <w:rPr>
          <w:rFonts w:ascii="宋体" w:hAnsi="宋体" w:cs="宋体"/>
          <w:kern w:val="1"/>
          <w:sz w:val="28"/>
          <w:szCs w:val="28"/>
        </w:rPr>
        <w:t>____________________</w:t>
      </w:r>
    </w:p>
    <w:tbl>
      <w:tblPr>
        <w:tblW w:w="8493" w:type="dxa"/>
        <w:jc w:val="center"/>
        <w:tblCellMar>
          <w:left w:w="10" w:type="dxa"/>
          <w:right w:w="10" w:type="dxa"/>
        </w:tblCellMar>
        <w:tblLook w:val="0000"/>
      </w:tblPr>
      <w:tblGrid>
        <w:gridCol w:w="737"/>
        <w:gridCol w:w="4285"/>
        <w:gridCol w:w="1674"/>
        <w:gridCol w:w="599"/>
        <w:gridCol w:w="599"/>
        <w:gridCol w:w="599"/>
      </w:tblGrid>
      <w:tr w:rsidR="002877F2">
        <w:trPr>
          <w:trHeight w:val="563"/>
          <w:tblHeader/>
          <w:jc w:val="center"/>
        </w:trPr>
        <w:tc>
          <w:tcPr>
            <w:tcW w:w="5022" w:type="dxa"/>
            <w:gridSpan w:val="2"/>
            <w:tcBorders>
              <w:top w:val="single" w:sz="12"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工作职责</w:t>
            </w:r>
          </w:p>
        </w:tc>
        <w:tc>
          <w:tcPr>
            <w:tcW w:w="1674" w:type="dxa"/>
            <w:tcBorders>
              <w:top w:val="single" w:sz="12"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完成时间</w:t>
            </w:r>
          </w:p>
        </w:tc>
        <w:tc>
          <w:tcPr>
            <w:tcW w:w="599" w:type="dxa"/>
            <w:tcBorders>
              <w:top w:val="single" w:sz="12" w:space="0" w:color="000000"/>
              <w:left w:val="single" w:sz="6" w:space="0" w:color="000000"/>
              <w:bottom w:val="single" w:sz="6" w:space="0" w:color="000000"/>
              <w:right w:val="single" w:sz="6" w:space="0" w:color="000000"/>
            </w:tcBorders>
            <w:tcMar>
              <w:top w:w="0" w:type="dxa"/>
              <w:left w:w="108" w:type="dxa"/>
              <w:bottom w:w="0" w:type="dxa"/>
              <w:right w:w="108" w:type="dxa"/>
            </w:tcMa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考核分值</w:t>
            </w:r>
          </w:p>
        </w:tc>
        <w:tc>
          <w:tcPr>
            <w:tcW w:w="599" w:type="dxa"/>
            <w:tcBorders>
              <w:top w:val="single" w:sz="12"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教师自评</w:t>
            </w:r>
          </w:p>
        </w:tc>
        <w:tc>
          <w:tcPr>
            <w:tcW w:w="599" w:type="dxa"/>
            <w:tcBorders>
              <w:top w:val="single" w:sz="12"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学院考核</w:t>
            </w:r>
          </w:p>
        </w:tc>
      </w:tr>
      <w:tr w:rsidR="002877F2">
        <w:trPr>
          <w:trHeight w:val="407"/>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教学准备阶段</w:t>
            </w:r>
            <w:r>
              <w:rPr>
                <w:kern w:val="1"/>
                <w:szCs w:val="21"/>
              </w:rPr>
              <w:t xml:space="preserve"> </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（一）尽快取得任教课程的教材，熟悉课程教学内容；主动联系课程负责人，接受有关课程教学指令和工作培训，熟悉课程教学方案，熟悉教学方法和课程数字资源概况。</w:t>
            </w:r>
          </w:p>
        </w:tc>
        <w:tc>
          <w:tcPr>
            <w:tcW w:w="167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第六周前</w:t>
            </w:r>
          </w:p>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5</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trHeight w:val="407"/>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（二）熟悉课程辅导教师工作职责；熟悉国开学习网平台提供的功能，熟悉任教课程的教学框架及各个教学环节。</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（三）加入班级</w:t>
            </w:r>
            <w:r>
              <w:rPr>
                <w:rFonts w:ascii="宋体" w:hAnsi="宋体" w:cs="宋体"/>
                <w:kern w:val="1"/>
                <w:szCs w:val="21"/>
              </w:rPr>
              <w:t>QQ</w:t>
            </w:r>
            <w:r>
              <w:rPr>
                <w:rFonts w:ascii="宋体" w:hAnsi="宋体" w:cs="宋体" w:hint="eastAsia"/>
                <w:kern w:val="1"/>
                <w:szCs w:val="21"/>
              </w:rPr>
              <w:t>群等联系通道，熟悉班级学员；与班级辅导员取得联系，了解学员情况，为组建学习小组做好准备。</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5</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（四）加入课程教学团队群，参加各类业务培训</w:t>
            </w:r>
            <w:r>
              <w:rPr>
                <w:rFonts w:ascii="宋体" w:hAnsi="宋体" w:cs="Tahoma" w:hint="eastAsia"/>
                <w:szCs w:val="21"/>
              </w:rPr>
              <w:t>。</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4</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（五）设计课程一体化教学实施方案</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期初教学阶段</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（一）指导学生使用国开学习网平台。帮助学生使用新平台开展网上学习活动（发回帖、浏览学习资源等），以顺利完成各项学习任务。</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第一次面授课</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（二）建立教学点讨论专区。在课程非实时讨论区建立教学讨论专区，并把课程一体化实施方案挂在这个讨论专区；在课程实时讨论区建立教学点讨论专区，以方便组织学生参加实时讨论活动</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第一次面授课前</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trHeight w:val="1977"/>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（三）</w:t>
            </w:r>
            <w:r>
              <w:rPr>
                <w:rFonts w:ascii="宋体" w:hAnsi="宋体" w:cs="宋体" w:hint="eastAsia"/>
                <w:kern w:val="1"/>
                <w:szCs w:val="21"/>
              </w:rPr>
              <w:t>期初课程导学。在非实时讨论区的教学点讨论专区开展期初导学（以导学课件、微课或导学案的形式），明确告知学生：课程学习的基本流程，如何获取和使用课程资源（材料），需要完成哪些学习任务（活动），面授课的时间安排等。</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rPr>
            </w:pPr>
            <w:r>
              <w:rPr>
                <w:rFonts w:hint="eastAsia"/>
                <w:kern w:val="1"/>
              </w:rPr>
              <w:t>第一次面授课前</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trHeight w:val="779"/>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（四）组建学习小组。每个小组由</w:t>
            </w:r>
            <w:r>
              <w:rPr>
                <w:rFonts w:ascii="宋体" w:hAnsi="宋体" w:cs="宋体"/>
                <w:kern w:val="1"/>
                <w:szCs w:val="21"/>
              </w:rPr>
              <w:t>5-10</w:t>
            </w:r>
            <w:r>
              <w:rPr>
                <w:rFonts w:ascii="宋体" w:hAnsi="宋体" w:cs="宋体" w:hint="eastAsia"/>
                <w:kern w:val="1"/>
                <w:szCs w:val="21"/>
              </w:rPr>
              <w:t>名学生组成，选聘组长，设计并组织小组活动。</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rPr>
            </w:pPr>
            <w:r>
              <w:rPr>
                <w:rFonts w:hint="eastAsia"/>
                <w:kern w:val="1"/>
              </w:rPr>
              <w:t>第一次面授课</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4</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hint="eastAsia"/>
                <w:kern w:val="1"/>
                <w:szCs w:val="21"/>
              </w:rPr>
              <w:t>期中教学阶段</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ascii="宋体" w:hAnsi="宋体" w:cs="宋体" w:hint="eastAsia"/>
                <w:kern w:val="1"/>
                <w:szCs w:val="21"/>
              </w:rPr>
              <w:t>（一）单元（模块）导学。告知学生每个</w:t>
            </w:r>
            <w:r>
              <w:rPr>
                <w:rFonts w:ascii="宋体" w:hAnsi="宋体" w:cs="宋体" w:hint="eastAsia"/>
                <w:szCs w:val="21"/>
              </w:rPr>
              <w:t>单元（模块）的学习要求和重点，并及时给予学习指导。</w:t>
            </w:r>
          </w:p>
        </w:tc>
        <w:tc>
          <w:tcPr>
            <w:tcW w:w="167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认真执行教学计划</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4</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（二）组织开展实时与非实时讨论活动</w:t>
            </w:r>
            <w:r>
              <w:rPr>
                <w:rFonts w:ascii="宋体" w:hAnsi="宋体" w:cs="宋体" w:hint="eastAsia"/>
                <w:kern w:val="1"/>
                <w:szCs w:val="21"/>
              </w:rPr>
              <w:t>。组织学生积极参与课程实时讨论活动；同时在课程非实时讨论区的教学点讨论专区组织学生讨论省校教师设计的</w:t>
            </w:r>
            <w:r>
              <w:rPr>
                <w:rFonts w:ascii="宋体" w:hAnsi="宋体" w:cs="宋体"/>
                <w:kern w:val="1"/>
                <w:szCs w:val="21"/>
              </w:rPr>
              <w:t>16</w:t>
            </w:r>
            <w:r>
              <w:rPr>
                <w:rFonts w:ascii="宋体" w:hAnsi="宋体" w:cs="宋体" w:hint="eastAsia"/>
                <w:kern w:val="1"/>
                <w:szCs w:val="21"/>
              </w:rPr>
              <w:t>个非实时讨论题，教师回帖应在学生发帖后一周内完成。</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（三）</w:t>
            </w:r>
            <w:r>
              <w:rPr>
                <w:rFonts w:ascii="宋体" w:hAnsi="宋体" w:cs="宋体" w:hint="eastAsia"/>
                <w:kern w:val="1"/>
                <w:szCs w:val="21"/>
              </w:rPr>
              <w:t>督促完成作业。提醒学生提交作业的截止时间，督促学生尽早完成，指导学生克服完成作业中的困难。</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2</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（四）</w:t>
            </w:r>
            <w:r>
              <w:rPr>
                <w:rFonts w:ascii="宋体" w:hAnsi="宋体" w:cs="宋体" w:hint="eastAsia"/>
                <w:kern w:val="1"/>
                <w:szCs w:val="21"/>
              </w:rPr>
              <w:t>及时批改作业。及时批改学生作业，并给出恰当的评语和成绩。</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期末教学阶段</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（一）</w:t>
            </w:r>
            <w:r>
              <w:rPr>
                <w:rFonts w:ascii="宋体" w:hAnsi="宋体" w:cs="宋体" w:hint="eastAsia"/>
                <w:szCs w:val="21"/>
              </w:rPr>
              <w:t>期末复习指导</w:t>
            </w:r>
            <w:r>
              <w:rPr>
                <w:rFonts w:hint="eastAsia"/>
                <w:kern w:val="1"/>
                <w:szCs w:val="21"/>
              </w:rPr>
              <w:t>。</w:t>
            </w:r>
            <w:r>
              <w:rPr>
                <w:rFonts w:ascii="宋体" w:hAnsi="宋体" w:cs="宋体" w:hint="eastAsia"/>
                <w:szCs w:val="21"/>
              </w:rPr>
              <w:t>指导学生详细查看课程考核要求，告知学生课程终结性考试时间等信息，采用终结性考试的课程，复习时应给出明确的复习重点和范围，并提供历年试卷及答案；做好开卷考试指导，明确课程复习要求，提醒学生做模拟练习。（全形考课程自然取得本项分值）</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终结性考试前一周完成。</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（二）</w:t>
            </w:r>
            <w:r>
              <w:rPr>
                <w:rFonts w:ascii="宋体" w:hAnsi="宋体" w:cs="宋体" w:hint="eastAsia"/>
                <w:szCs w:val="21"/>
              </w:rPr>
              <w:t>确定形考成绩，</w:t>
            </w:r>
            <w:r>
              <w:rPr>
                <w:rFonts w:ascii="宋体" w:hAnsi="宋体" w:cs="宋体" w:hint="eastAsia"/>
                <w:kern w:val="1"/>
                <w:szCs w:val="21"/>
              </w:rPr>
              <w:t>成绩的评定应按照课程形考方案的要求进行。</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根据具体工作安排</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（三）收集教学档案。收集整理实施教学、开展教学活动的（过程）资料，以及有关教学成果。</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终结性考试前一周完成。</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（四）</w:t>
            </w:r>
            <w:r>
              <w:rPr>
                <w:rFonts w:ascii="宋体" w:hAnsi="宋体" w:cs="宋体" w:hint="eastAsia"/>
                <w:kern w:val="1"/>
                <w:szCs w:val="21"/>
              </w:rPr>
              <w:t>提交教学考核表</w:t>
            </w:r>
            <w:r>
              <w:rPr>
                <w:rFonts w:hint="eastAsia"/>
                <w:kern w:val="1"/>
                <w:szCs w:val="21"/>
              </w:rPr>
              <w:t>。对本期课程教学进行梳理和反思，并填写课程导师教学考核表，提交给学院。</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终结性考试后一周完成。</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trPr>
          <w:jc w:val="center"/>
        </w:trPr>
        <w:tc>
          <w:tcPr>
            <w:tcW w:w="5022" w:type="dxa"/>
            <w:gridSpan w:val="2"/>
            <w:tcBorders>
              <w:top w:val="single" w:sz="6" w:space="0" w:color="000000"/>
              <w:left w:val="single" w:sz="12"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kern w:val="1"/>
                <w:szCs w:val="21"/>
              </w:rPr>
              <w:t xml:space="preserve">                       </w:t>
            </w:r>
            <w:r>
              <w:rPr>
                <w:rFonts w:hint="eastAsia"/>
                <w:kern w:val="1"/>
                <w:szCs w:val="21"/>
              </w:rPr>
              <w:t>合</w:t>
            </w:r>
            <w:r>
              <w:rPr>
                <w:kern w:val="1"/>
                <w:szCs w:val="21"/>
              </w:rPr>
              <w:t xml:space="preserve">   </w:t>
            </w:r>
            <w:r>
              <w:rPr>
                <w:rFonts w:hint="eastAsia"/>
                <w:kern w:val="1"/>
                <w:szCs w:val="21"/>
              </w:rPr>
              <w:t>计</w:t>
            </w:r>
          </w:p>
        </w:tc>
        <w:tc>
          <w:tcPr>
            <w:tcW w:w="1674"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p>
        </w:tc>
        <w:tc>
          <w:tcPr>
            <w:tcW w:w="599"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100</w:t>
            </w:r>
          </w:p>
        </w:tc>
        <w:tc>
          <w:tcPr>
            <w:tcW w:w="599"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12"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bl>
    <w:p w:rsidR="002877F2" w:rsidRDefault="002877F2">
      <w:pPr>
        <w:pBdr>
          <w:top w:val="none" w:sz="0" w:space="0" w:color="auto"/>
          <w:left w:val="none" w:sz="0" w:space="0" w:color="auto"/>
          <w:bottom w:val="none" w:sz="0" w:space="0" w:color="auto"/>
          <w:right w:val="none" w:sz="0" w:space="0" w:color="auto"/>
          <w:between w:val="none" w:sz="0" w:space="0" w:color="auto"/>
        </w:pBdr>
        <w:spacing w:before="156"/>
        <w:rPr>
          <w:rFonts w:ascii="宋体" w:cs="宋体"/>
          <w:kern w:val="1"/>
          <w:sz w:val="28"/>
          <w:szCs w:val="28"/>
        </w:rPr>
      </w:pPr>
      <w:r>
        <w:rPr>
          <w:rFonts w:ascii="宋体" w:hAnsi="宋体" w:cs="宋体" w:hint="eastAsia"/>
          <w:kern w:val="1"/>
          <w:sz w:val="28"/>
          <w:szCs w:val="28"/>
        </w:rPr>
        <w:t>教师（签字）：</w:t>
      </w:r>
      <w:r>
        <w:rPr>
          <w:rFonts w:ascii="宋体" w:hAnsi="宋体" w:cs="宋体"/>
          <w:kern w:val="1"/>
          <w:sz w:val="28"/>
          <w:szCs w:val="28"/>
        </w:rPr>
        <w:t xml:space="preserve">                              </w:t>
      </w:r>
      <w:r>
        <w:rPr>
          <w:rFonts w:ascii="宋体" w:hAnsi="宋体" w:cs="宋体" w:hint="eastAsia"/>
          <w:kern w:val="1"/>
          <w:sz w:val="28"/>
          <w:szCs w:val="28"/>
        </w:rPr>
        <w:t>年</w:t>
      </w:r>
      <w:r>
        <w:rPr>
          <w:rFonts w:ascii="宋体" w:hAnsi="宋体" w:cs="宋体"/>
          <w:kern w:val="1"/>
          <w:sz w:val="28"/>
          <w:szCs w:val="28"/>
        </w:rPr>
        <w:t xml:space="preserve">    </w:t>
      </w:r>
      <w:r>
        <w:rPr>
          <w:rFonts w:ascii="宋体" w:hAnsi="宋体" w:cs="宋体" w:hint="eastAsia"/>
          <w:kern w:val="1"/>
          <w:sz w:val="28"/>
          <w:szCs w:val="28"/>
        </w:rPr>
        <w:t>月</w:t>
      </w:r>
      <w:r>
        <w:rPr>
          <w:rFonts w:ascii="宋体" w:hAnsi="宋体" w:cs="宋体"/>
          <w:kern w:val="1"/>
          <w:sz w:val="28"/>
          <w:szCs w:val="28"/>
        </w:rPr>
        <w:t xml:space="preserve">    </w:t>
      </w:r>
      <w:r>
        <w:rPr>
          <w:rFonts w:ascii="宋体" w:hAnsi="宋体" w:cs="宋体" w:hint="eastAsia"/>
          <w:kern w:val="1"/>
          <w:sz w:val="28"/>
          <w:szCs w:val="28"/>
        </w:rPr>
        <w:t>日</w:t>
      </w:r>
    </w:p>
    <w:p w:rsidR="002877F2" w:rsidRDefault="002877F2">
      <w:pPr>
        <w:widowControl/>
        <w:pBdr>
          <w:top w:val="none" w:sz="0" w:space="0" w:color="auto"/>
          <w:left w:val="none" w:sz="0" w:space="0" w:color="auto"/>
          <w:bottom w:val="none" w:sz="0" w:space="0" w:color="auto"/>
          <w:right w:val="none" w:sz="0" w:space="0" w:color="auto"/>
          <w:between w:val="none" w:sz="0" w:space="0" w:color="auto"/>
        </w:pBdr>
        <w:spacing w:before="156"/>
        <w:rPr>
          <w:rFonts w:ascii="宋体" w:cs="宋体"/>
          <w:kern w:val="1"/>
          <w:sz w:val="28"/>
          <w:szCs w:val="28"/>
        </w:rPr>
      </w:pPr>
      <w:r>
        <w:rPr>
          <w:rFonts w:ascii="宋体" w:hAnsi="宋体" w:cs="宋体" w:hint="eastAsia"/>
          <w:kern w:val="1"/>
          <w:sz w:val="28"/>
          <w:szCs w:val="28"/>
        </w:rPr>
        <w:t>学院（签字）：</w:t>
      </w:r>
      <w:r>
        <w:rPr>
          <w:rFonts w:ascii="宋体" w:hAnsi="宋体" w:cs="宋体"/>
          <w:kern w:val="1"/>
          <w:sz w:val="28"/>
          <w:szCs w:val="28"/>
        </w:rPr>
        <w:t xml:space="preserve">                              </w:t>
      </w:r>
      <w:r>
        <w:rPr>
          <w:rFonts w:ascii="宋体" w:hAnsi="宋体" w:cs="宋体" w:hint="eastAsia"/>
          <w:kern w:val="1"/>
          <w:sz w:val="28"/>
          <w:szCs w:val="28"/>
        </w:rPr>
        <w:t>年</w:t>
      </w:r>
      <w:r>
        <w:rPr>
          <w:rFonts w:ascii="宋体" w:hAnsi="宋体" w:cs="宋体"/>
          <w:kern w:val="1"/>
          <w:sz w:val="28"/>
          <w:szCs w:val="28"/>
        </w:rPr>
        <w:t xml:space="preserve">    </w:t>
      </w:r>
      <w:r>
        <w:rPr>
          <w:rFonts w:ascii="宋体" w:hAnsi="宋体" w:cs="宋体" w:hint="eastAsia"/>
          <w:kern w:val="1"/>
          <w:sz w:val="28"/>
          <w:szCs w:val="28"/>
        </w:rPr>
        <w:t>月</w:t>
      </w:r>
      <w:r>
        <w:rPr>
          <w:rFonts w:ascii="宋体" w:hAnsi="宋体" w:cs="宋体"/>
          <w:kern w:val="1"/>
          <w:sz w:val="28"/>
          <w:szCs w:val="28"/>
        </w:rPr>
        <w:t xml:space="preserve">    </w:t>
      </w:r>
      <w:r>
        <w:rPr>
          <w:rFonts w:ascii="宋体" w:hAnsi="宋体" w:cs="宋体" w:hint="eastAsia"/>
          <w:kern w:val="1"/>
          <w:sz w:val="28"/>
          <w:szCs w:val="28"/>
        </w:rPr>
        <w:t>日</w:t>
      </w:r>
    </w:p>
    <w:p w:rsidR="002877F2" w:rsidRDefault="002877F2">
      <w:pPr>
        <w:pBdr>
          <w:top w:val="none" w:sz="0" w:space="0" w:color="auto"/>
          <w:left w:val="none" w:sz="0" w:space="0" w:color="auto"/>
          <w:bottom w:val="none" w:sz="0" w:space="0" w:color="auto"/>
          <w:right w:val="none" w:sz="0" w:space="0" w:color="auto"/>
          <w:between w:val="none" w:sz="0" w:space="0" w:color="auto"/>
        </w:pBdr>
        <w:spacing w:line="360" w:lineRule="auto"/>
        <w:rPr>
          <w:kern w:val="1"/>
        </w:rPr>
      </w:pPr>
    </w:p>
    <w:p w:rsidR="002877F2" w:rsidRDefault="002877F2">
      <w:pPr>
        <w:widowControl/>
        <w:pBdr>
          <w:top w:val="none" w:sz="0" w:space="0" w:color="auto"/>
          <w:left w:val="none" w:sz="0" w:space="0" w:color="auto"/>
          <w:bottom w:val="none" w:sz="0" w:space="0" w:color="auto"/>
          <w:right w:val="none" w:sz="0" w:space="0" w:color="auto"/>
          <w:between w:val="none" w:sz="0" w:space="0" w:color="auto"/>
        </w:pBdr>
        <w:shd w:val="clear" w:color="000000" w:fill="FFFFFF"/>
        <w:spacing w:before="100" w:beforeAutospacing="1" w:after="100" w:afterAutospacing="1"/>
        <w:ind w:firstLine="2640"/>
        <w:jc w:val="left"/>
        <w:rPr>
          <w:rFonts w:ascii="宋体" w:cs="宋体"/>
          <w:color w:val="333333"/>
          <w:sz w:val="24"/>
          <w:szCs w:val="24"/>
        </w:rPr>
      </w:pPr>
    </w:p>
    <w:sectPr w:rsidR="002877F2" w:rsidSect="006A1E2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7F2" w:rsidRDefault="002877F2" w:rsidP="00B24D5A">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rsidR="002877F2" w:rsidRDefault="002877F2" w:rsidP="00B24D5A">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7F2" w:rsidRDefault="002877F2" w:rsidP="00B24D5A">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rsidR="002877F2" w:rsidRDefault="002877F2" w:rsidP="00B24D5A">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C7E52"/>
    <w:multiLevelType w:val="singleLevel"/>
    <w:tmpl w:val="B9C650A0"/>
    <w:name w:val="Bullet 3"/>
    <w:lvl w:ilvl="0">
      <w:start w:val="2"/>
      <w:numFmt w:val="decimal"/>
      <w:lvlText w:val="%1"/>
      <w:lvlJc w:val="left"/>
      <w:pPr>
        <w:tabs>
          <w:tab w:val="num" w:pos="0"/>
        </w:tabs>
      </w:pPr>
      <w:rPr>
        <w:rFonts w:cs="Times New Roman"/>
      </w:rPr>
    </w:lvl>
  </w:abstractNum>
  <w:abstractNum w:abstractNumId="1">
    <w:nsid w:val="1ECC2508"/>
    <w:multiLevelType w:val="multilevel"/>
    <w:tmpl w:val="CC206E44"/>
    <w:lvl w:ilvl="0">
      <w:numFmt w:val="none"/>
      <w:lvlText w:val=""/>
      <w:lvlJc w:val="left"/>
      <w:pPr>
        <w:tabs>
          <w:tab w:val="num" w:pos="360"/>
        </w:tabs>
        <w:ind w:left="360" w:hanging="360"/>
      </w:pPr>
      <w:rPr>
        <w:rFonts w:cs="Times New Roman"/>
      </w:rPr>
    </w:lvl>
    <w:lvl w:ilvl="1">
      <w:numFmt w:val="none"/>
      <w:lvlText w:val=""/>
      <w:lvlJc w:val="left"/>
      <w:pPr>
        <w:tabs>
          <w:tab w:val="num" w:pos="360"/>
        </w:tabs>
        <w:ind w:left="360" w:hanging="360"/>
      </w:pPr>
      <w:rPr>
        <w:rFonts w:cs="Times New Roman"/>
      </w:rPr>
    </w:lvl>
    <w:lvl w:ilvl="2">
      <w:numFmt w:val="none"/>
      <w:lvlText w:val=""/>
      <w:lvlJc w:val="left"/>
      <w:pPr>
        <w:tabs>
          <w:tab w:val="num" w:pos="360"/>
        </w:tabs>
        <w:ind w:left="360" w:hanging="360"/>
      </w:pPr>
      <w:rPr>
        <w:rFonts w:cs="Times New Roman"/>
      </w:rPr>
    </w:lvl>
    <w:lvl w:ilvl="3">
      <w:numFmt w:val="none"/>
      <w:lvlText w:val=""/>
      <w:lvlJc w:val="left"/>
      <w:pPr>
        <w:tabs>
          <w:tab w:val="num" w:pos="360"/>
        </w:tabs>
        <w:ind w:left="360" w:hanging="360"/>
      </w:pPr>
      <w:rPr>
        <w:rFonts w:cs="Times New Roman"/>
      </w:rPr>
    </w:lvl>
    <w:lvl w:ilvl="4">
      <w:numFmt w:val="none"/>
      <w:lvlText w:val=""/>
      <w:lvlJc w:val="left"/>
      <w:pPr>
        <w:tabs>
          <w:tab w:val="num" w:pos="360"/>
        </w:tabs>
        <w:ind w:left="360" w:hanging="360"/>
      </w:pPr>
      <w:rPr>
        <w:rFonts w:cs="Times New Roman"/>
      </w:rPr>
    </w:lvl>
    <w:lvl w:ilvl="5">
      <w:numFmt w:val="none"/>
      <w:lvlText w:val=""/>
      <w:lvlJc w:val="left"/>
      <w:pPr>
        <w:tabs>
          <w:tab w:val="num" w:pos="360"/>
        </w:tabs>
        <w:ind w:left="360" w:hanging="360"/>
      </w:pPr>
      <w:rPr>
        <w:rFonts w:cs="Times New Roman"/>
      </w:rPr>
    </w:lvl>
    <w:lvl w:ilvl="6">
      <w:numFmt w:val="none"/>
      <w:lvlText w:val=""/>
      <w:lvlJc w:val="left"/>
      <w:pPr>
        <w:tabs>
          <w:tab w:val="num" w:pos="360"/>
        </w:tabs>
        <w:ind w:left="360" w:hanging="360"/>
      </w:pPr>
      <w:rPr>
        <w:rFonts w:cs="Times New Roman"/>
      </w:rPr>
    </w:lvl>
    <w:lvl w:ilvl="7">
      <w:numFmt w:val="none"/>
      <w:lvlText w:val=""/>
      <w:lvlJc w:val="left"/>
      <w:pPr>
        <w:tabs>
          <w:tab w:val="num" w:pos="360"/>
        </w:tabs>
        <w:ind w:left="360" w:hanging="360"/>
      </w:pPr>
      <w:rPr>
        <w:rFonts w:cs="Times New Roman"/>
      </w:rPr>
    </w:lvl>
    <w:lvl w:ilvl="8">
      <w:numFmt w:val="none"/>
      <w:lvlText w:val=""/>
      <w:lvlJc w:val="left"/>
      <w:pPr>
        <w:tabs>
          <w:tab w:val="num" w:pos="360"/>
        </w:tabs>
        <w:ind w:left="360" w:hanging="360"/>
      </w:pPr>
      <w:rPr>
        <w:rFonts w:cs="Times New Roman"/>
      </w:rPr>
    </w:lvl>
  </w:abstractNum>
  <w:abstractNum w:abstractNumId="2">
    <w:nsid w:val="1F065C67"/>
    <w:multiLevelType w:val="singleLevel"/>
    <w:tmpl w:val="4EBA9816"/>
    <w:name w:val="编号列表 2"/>
    <w:lvl w:ilvl="0">
      <w:start w:val="2"/>
      <w:numFmt w:val="decimal"/>
      <w:suff w:val="nothing"/>
      <w:lvlText w:val="（%1）"/>
      <w:lvlJc w:val="left"/>
      <w:rPr>
        <w:rFonts w:cs="Times New Roman"/>
      </w:rPr>
    </w:lvl>
  </w:abstractNum>
  <w:abstractNum w:abstractNumId="3">
    <w:nsid w:val="45E05634"/>
    <w:multiLevelType w:val="singleLevel"/>
    <w:tmpl w:val="BA5A9EE4"/>
    <w:name w:val="编号列表 1"/>
    <w:lvl w:ilvl="0">
      <w:start w:val="2"/>
      <w:numFmt w:val="decimal"/>
      <w:suff w:val="nothing"/>
      <w:lvlText w:val="（%1）"/>
      <w:lvlJc w:val="left"/>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0"/>
  <w:drawingGridVerticalSpacing w:val="0"/>
  <w:characterSpacingControl w:val="doNotCompress"/>
  <w:noLineBreaksAfter w:lang="zh-CN" w:val="$([{£¥·‘“〈《「『【〔〖〝﹙﹛﹝＄（．［｛￡￥"/>
  <w:noLineBreaksBefore w:lang="zh-CN" w:val="!%),.:;&gt;?]}¢¨°·ˇˉ―‖’”…‰′″›℃∶、。〃〉》」』】〕〗〞︶︺︾﹀﹄﹚﹜﹞！＂％＇），．：；？］｀｜｝～￠"/>
  <w:footnotePr>
    <w:footnote w:id="-1"/>
    <w:footnote w:id="0"/>
  </w:footnotePr>
  <w:endnotePr>
    <w:numFmt w:val="decimal"/>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2A52"/>
    <w:rsid w:val="00012F30"/>
    <w:rsid w:val="00253AC6"/>
    <w:rsid w:val="002877F2"/>
    <w:rsid w:val="00542B1F"/>
    <w:rsid w:val="005A2534"/>
    <w:rsid w:val="00652E4F"/>
    <w:rsid w:val="006A1E26"/>
    <w:rsid w:val="007761F6"/>
    <w:rsid w:val="007E22B4"/>
    <w:rsid w:val="0086627A"/>
    <w:rsid w:val="00905D05"/>
    <w:rsid w:val="00B23333"/>
    <w:rsid w:val="00B24D5A"/>
    <w:rsid w:val="00B31B5A"/>
    <w:rsid w:val="00C250A9"/>
    <w:rsid w:val="00C60681"/>
    <w:rsid w:val="00CD7941"/>
    <w:rsid w:val="00E62A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E2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A1E26"/>
    <w:pPr>
      <w:widowControl/>
      <w:spacing w:before="100" w:beforeAutospacing="1" w:after="100" w:afterAutospacing="1"/>
      <w:jc w:val="left"/>
    </w:pPr>
    <w:rPr>
      <w:rFonts w:ascii="宋体" w:hAnsi="宋体" w:cs="宋体"/>
      <w:sz w:val="24"/>
      <w:szCs w:val="24"/>
    </w:rPr>
  </w:style>
  <w:style w:type="paragraph" w:styleId="BalloonText">
    <w:name w:val="Balloon Text"/>
    <w:basedOn w:val="Normal"/>
    <w:link w:val="BalloonTextChar"/>
    <w:uiPriority w:val="99"/>
    <w:rsid w:val="006A1E26"/>
    <w:rPr>
      <w:kern w:val="1"/>
      <w:sz w:val="18"/>
      <w:szCs w:val="18"/>
    </w:rPr>
  </w:style>
  <w:style w:type="character" w:customStyle="1" w:styleId="BalloonTextChar">
    <w:name w:val="Balloon Text Char"/>
    <w:basedOn w:val="DefaultParagraphFont"/>
    <w:link w:val="BalloonText"/>
    <w:uiPriority w:val="99"/>
    <w:semiHidden/>
    <w:locked/>
    <w:rPr>
      <w:rFonts w:cs="Times New Roman"/>
      <w:kern w:val="0"/>
      <w:sz w:val="2"/>
    </w:rPr>
  </w:style>
  <w:style w:type="paragraph" w:styleId="Header">
    <w:name w:val="header"/>
    <w:basedOn w:val="Normal"/>
    <w:link w:val="HeaderChar"/>
    <w:uiPriority w:val="99"/>
    <w:rsid w:val="006A1E26"/>
    <w:pPr>
      <w:pBdr>
        <w:bottom w:val="single" w:sz="6" w:space="1" w:color="000000"/>
      </w:pBdr>
      <w:tabs>
        <w:tab w:val="center" w:pos="4153"/>
        <w:tab w:val="right" w:pos="8305"/>
      </w:tabs>
      <w:jc w:val="center"/>
    </w:pPr>
    <w:rPr>
      <w:kern w:val="1"/>
      <w:sz w:val="18"/>
      <w:szCs w:val="18"/>
    </w:rPr>
  </w:style>
  <w:style w:type="character" w:customStyle="1" w:styleId="HeaderChar">
    <w:name w:val="Header Char"/>
    <w:basedOn w:val="DefaultParagraphFont"/>
    <w:link w:val="Header"/>
    <w:uiPriority w:val="99"/>
    <w:semiHidden/>
    <w:locked/>
    <w:rPr>
      <w:rFonts w:cs="Times New Roman"/>
      <w:kern w:val="0"/>
      <w:sz w:val="18"/>
      <w:szCs w:val="18"/>
    </w:rPr>
  </w:style>
  <w:style w:type="paragraph" w:styleId="Footer">
    <w:name w:val="footer"/>
    <w:basedOn w:val="Normal"/>
    <w:link w:val="FooterChar"/>
    <w:uiPriority w:val="99"/>
    <w:rsid w:val="006A1E26"/>
    <w:pPr>
      <w:tabs>
        <w:tab w:val="center" w:pos="4153"/>
        <w:tab w:val="right" w:pos="8305"/>
      </w:tabs>
      <w:jc w:val="left"/>
    </w:pPr>
    <w:rPr>
      <w:kern w:val="1"/>
      <w:sz w:val="18"/>
      <w:szCs w:val="18"/>
    </w:rPr>
  </w:style>
  <w:style w:type="character" w:customStyle="1" w:styleId="FooterChar">
    <w:name w:val="Footer Char"/>
    <w:basedOn w:val="DefaultParagraphFont"/>
    <w:link w:val="Footer"/>
    <w:uiPriority w:val="99"/>
    <w:semiHidden/>
    <w:locked/>
    <w:rPr>
      <w:rFonts w:cs="Times New Roman"/>
      <w:kern w:val="0"/>
      <w:sz w:val="18"/>
      <w:szCs w:val="18"/>
    </w:rPr>
  </w:style>
  <w:style w:type="character" w:customStyle="1" w:styleId="Char">
    <w:name w:val="批注框文本 Char"/>
    <w:uiPriority w:val="99"/>
    <w:rsid w:val="006A1E26"/>
    <w:rPr>
      <w:sz w:val="18"/>
    </w:rPr>
  </w:style>
  <w:style w:type="character" w:customStyle="1" w:styleId="Char0">
    <w:name w:val="页眉 Char"/>
    <w:uiPriority w:val="99"/>
    <w:rsid w:val="006A1E26"/>
    <w:rPr>
      <w:kern w:val="1"/>
      <w:sz w:val="18"/>
    </w:rPr>
  </w:style>
  <w:style w:type="character" w:customStyle="1" w:styleId="Char1">
    <w:name w:val="页脚 Char"/>
    <w:uiPriority w:val="99"/>
    <w:rsid w:val="006A1E26"/>
    <w:rPr>
      <w:kern w:val="1"/>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2</Pages>
  <Words>214</Words>
  <Characters>1222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许美娟(常州)</cp:lastModifiedBy>
  <cp:revision>16</cp:revision>
  <cp:lastPrinted>2015-10-14T14:11:00Z</cp:lastPrinted>
  <dcterms:created xsi:type="dcterms:W3CDTF">2016-04-15T15:07:00Z</dcterms:created>
  <dcterms:modified xsi:type="dcterms:W3CDTF">2016-04-26T07:06:00Z</dcterms:modified>
</cp:coreProperties>
</file>