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pacing w:val="20"/>
          <w:sz w:val="32"/>
          <w:szCs w:val="32"/>
        </w:rPr>
      </w:pPr>
      <w:r>
        <w:rPr>
          <w:rFonts w:hint="eastAsia" w:ascii="黑体" w:eastAsia="黑体"/>
          <w:b/>
          <w:spacing w:val="20"/>
          <w:sz w:val="32"/>
          <w:szCs w:val="32"/>
        </w:rPr>
        <w:t>江苏城市职业学院常州办学点五年制高等职业教育</w:t>
      </w:r>
    </w:p>
    <w:p>
      <w:pPr>
        <w:jc w:val="center"/>
        <w:rPr>
          <w:rFonts w:ascii="黑体" w:eastAsia="黑体"/>
          <w:b/>
          <w:spacing w:val="20"/>
          <w:sz w:val="30"/>
          <w:szCs w:val="30"/>
        </w:rPr>
      </w:pPr>
      <w:r>
        <w:rPr>
          <w:rFonts w:hint="eastAsia" w:ascii="黑体" w:eastAsia="黑体"/>
          <w:b/>
          <w:spacing w:val="20"/>
          <w:sz w:val="30"/>
          <w:szCs w:val="30"/>
        </w:rPr>
        <w:t>202</w:t>
      </w:r>
      <w:r>
        <w:rPr>
          <w:rFonts w:hint="eastAsia" w:ascii="黑体" w:eastAsia="黑体"/>
          <w:b/>
          <w:spacing w:val="20"/>
          <w:sz w:val="30"/>
          <w:szCs w:val="30"/>
          <w:lang w:val="en-US" w:eastAsia="zh-CN"/>
        </w:rPr>
        <w:t>1</w:t>
      </w:r>
      <w:r>
        <w:rPr>
          <w:rFonts w:hint="eastAsia" w:ascii="黑体" w:eastAsia="黑体"/>
          <w:b/>
          <w:spacing w:val="20"/>
          <w:sz w:val="30"/>
          <w:szCs w:val="30"/>
        </w:rPr>
        <w:t>级文化创意与策划专业实施性人才培养方案</w:t>
      </w:r>
    </w:p>
    <w:p>
      <w:pPr>
        <w:jc w:val="center"/>
        <w:rPr>
          <w:rFonts w:ascii="黑体" w:hAnsi="微软雅黑" w:eastAsia="黑体"/>
          <w:sz w:val="32"/>
          <w:szCs w:val="32"/>
        </w:rPr>
      </w:pPr>
      <w:r>
        <w:rPr>
          <w:rFonts w:hint="eastAsia" w:ascii="黑体" w:eastAsia="黑体"/>
          <w:b/>
          <w:spacing w:val="20"/>
          <w:sz w:val="30"/>
          <w:szCs w:val="30"/>
        </w:rPr>
        <w:t>专业代码：</w:t>
      </w:r>
      <w:r>
        <w:rPr>
          <w:rFonts w:hint="eastAsia" w:ascii="黑体" w:eastAsia="黑体"/>
          <w:b/>
          <w:spacing w:val="20"/>
          <w:sz w:val="30"/>
          <w:szCs w:val="30"/>
          <w:lang w:val="en-US" w:eastAsia="zh-CN"/>
        </w:rPr>
        <w:t>5</w:t>
      </w:r>
      <w:r>
        <w:rPr>
          <w:rFonts w:hint="eastAsia" w:ascii="黑体" w:eastAsia="黑体"/>
          <w:b/>
          <w:spacing w:val="20"/>
          <w:sz w:val="30"/>
          <w:szCs w:val="30"/>
        </w:rPr>
        <w:t>50401</w:t>
      </w:r>
    </w:p>
    <w:p>
      <w:pPr>
        <w:numPr>
          <w:ilvl w:val="0"/>
          <w:numId w:val="1"/>
        </w:numPr>
        <w:spacing w:line="300" w:lineRule="auto"/>
        <w:rPr>
          <w:rFonts w:ascii="仿宋_GB2312" w:hAnsi="微软雅黑" w:eastAsia="仿宋_GB2312"/>
          <w:b/>
          <w:sz w:val="28"/>
          <w:szCs w:val="28"/>
        </w:rPr>
      </w:pPr>
      <w:r>
        <w:rPr>
          <w:rFonts w:hint="eastAsia" w:ascii="仿宋_GB2312" w:hAnsi="微软雅黑" w:eastAsia="仿宋_GB2312"/>
          <w:b/>
          <w:sz w:val="28"/>
          <w:szCs w:val="28"/>
        </w:rPr>
        <w:t>专业名称</w:t>
      </w:r>
    </w:p>
    <w:p>
      <w:pPr>
        <w:ind w:firstLine="420" w:firstLineChars="200"/>
        <w:rPr>
          <w:rFonts w:cs="宋体"/>
          <w:bCs/>
          <w:szCs w:val="21"/>
        </w:rPr>
      </w:pPr>
      <w:r>
        <w:rPr>
          <w:rFonts w:hint="eastAsia" w:cs="宋体"/>
          <w:bCs/>
          <w:szCs w:val="21"/>
        </w:rPr>
        <w:t>文化创意与策划(专业代码：</w:t>
      </w:r>
      <w:r>
        <w:rPr>
          <w:rFonts w:hint="eastAsia" w:cs="宋体"/>
          <w:bCs/>
          <w:szCs w:val="21"/>
          <w:lang w:val="en-US" w:eastAsia="zh-CN"/>
        </w:rPr>
        <w:t>5</w:t>
      </w:r>
      <w:r>
        <w:rPr>
          <w:rFonts w:hint="eastAsia" w:cs="宋体"/>
          <w:bCs/>
          <w:szCs w:val="21"/>
        </w:rPr>
        <w:t>50401)</w:t>
      </w:r>
    </w:p>
    <w:p>
      <w:pPr>
        <w:ind w:firstLine="420"/>
        <w:rPr>
          <w:rFonts w:ascii="宋体" w:hAnsi="宋体" w:cs="宋体"/>
          <w:bCs/>
          <w:szCs w:val="21"/>
        </w:rPr>
      </w:pPr>
    </w:p>
    <w:p>
      <w:pPr>
        <w:spacing w:line="300" w:lineRule="auto"/>
        <w:rPr>
          <w:rFonts w:ascii="仿宋_GB2312" w:hAnsi="微软雅黑" w:eastAsia="仿宋_GB2312"/>
          <w:sz w:val="28"/>
          <w:szCs w:val="28"/>
        </w:rPr>
      </w:pPr>
      <w:r>
        <w:rPr>
          <w:rFonts w:hint="eastAsia" w:ascii="仿宋_GB2312" w:hAnsi="微软雅黑" w:eastAsia="仿宋_GB2312"/>
          <w:b/>
          <w:sz w:val="28"/>
          <w:szCs w:val="28"/>
        </w:rPr>
        <w:t>二、教育类型及学历层次、学制</w:t>
      </w:r>
    </w:p>
    <w:p>
      <w:pPr>
        <w:spacing w:line="300" w:lineRule="auto"/>
        <w:ind w:firstLine="420" w:firstLineChars="200"/>
        <w:rPr>
          <w:rFonts w:cs="宋体"/>
          <w:szCs w:val="21"/>
        </w:rPr>
      </w:pPr>
      <w:r>
        <w:rPr>
          <w:rFonts w:hint="eastAsia" w:cs="宋体"/>
          <w:szCs w:val="21"/>
        </w:rPr>
        <w:t>教育类型：高等职业教育</w:t>
      </w:r>
    </w:p>
    <w:p>
      <w:pPr>
        <w:spacing w:line="300" w:lineRule="auto"/>
        <w:ind w:firstLine="420" w:firstLineChars="200"/>
        <w:rPr>
          <w:rFonts w:cs="宋体"/>
          <w:szCs w:val="21"/>
        </w:rPr>
      </w:pPr>
      <w:r>
        <w:rPr>
          <w:rFonts w:hint="eastAsia" w:cs="宋体"/>
          <w:szCs w:val="21"/>
        </w:rPr>
        <w:t>学历层次：普通专科</w:t>
      </w:r>
    </w:p>
    <w:p>
      <w:pPr>
        <w:spacing w:line="300" w:lineRule="auto"/>
        <w:ind w:firstLine="420" w:firstLineChars="200"/>
        <w:rPr>
          <w:rFonts w:cs="宋体"/>
          <w:szCs w:val="21"/>
        </w:rPr>
      </w:pPr>
      <w:r>
        <w:rPr>
          <w:rFonts w:hint="eastAsia" w:cs="宋体"/>
          <w:szCs w:val="21"/>
        </w:rPr>
        <w:t>学制：五年一贯制</w:t>
      </w:r>
    </w:p>
    <w:p>
      <w:pPr>
        <w:spacing w:line="300" w:lineRule="auto"/>
        <w:ind w:firstLine="525" w:firstLineChars="250"/>
        <w:rPr>
          <w:rFonts w:ascii="宋体" w:hAnsi="宋体" w:cs="宋体"/>
          <w:szCs w:val="21"/>
        </w:rPr>
      </w:pPr>
    </w:p>
    <w:p>
      <w:pPr>
        <w:spacing w:line="300" w:lineRule="auto"/>
        <w:rPr>
          <w:rFonts w:ascii="仿宋_GB2312" w:hAnsi="微软雅黑" w:eastAsia="仿宋_GB2312"/>
          <w:b/>
          <w:sz w:val="28"/>
          <w:szCs w:val="28"/>
        </w:rPr>
      </w:pPr>
      <w:r>
        <w:rPr>
          <w:rFonts w:hint="eastAsia" w:ascii="仿宋_GB2312" w:hAnsi="微软雅黑" w:eastAsia="仿宋_GB2312"/>
          <w:b/>
          <w:sz w:val="28"/>
          <w:szCs w:val="28"/>
        </w:rPr>
        <w:t>三、招生对象</w:t>
      </w:r>
    </w:p>
    <w:p>
      <w:pPr>
        <w:spacing w:line="300" w:lineRule="auto"/>
        <w:ind w:firstLine="420" w:firstLineChars="200"/>
        <w:rPr>
          <w:rFonts w:cs="宋体"/>
          <w:szCs w:val="21"/>
        </w:rPr>
      </w:pPr>
      <w:r>
        <w:rPr>
          <w:rFonts w:hint="eastAsia" w:cs="宋体"/>
          <w:szCs w:val="21"/>
        </w:rPr>
        <w:t>应届初中毕业生</w:t>
      </w:r>
    </w:p>
    <w:p>
      <w:pPr>
        <w:spacing w:line="300" w:lineRule="auto"/>
        <w:ind w:firstLine="525" w:firstLineChars="250"/>
        <w:rPr>
          <w:rFonts w:ascii="宋体" w:hAnsi="宋体" w:cs="宋体"/>
          <w:szCs w:val="21"/>
        </w:rPr>
      </w:pPr>
    </w:p>
    <w:p>
      <w:pPr>
        <w:spacing w:line="300" w:lineRule="auto"/>
        <w:rPr>
          <w:rFonts w:ascii="仿宋_GB2312" w:hAnsi="微软雅黑" w:eastAsia="仿宋_GB2312"/>
          <w:b/>
          <w:sz w:val="28"/>
          <w:szCs w:val="28"/>
        </w:rPr>
      </w:pPr>
      <w:r>
        <w:rPr>
          <w:rFonts w:hint="eastAsia" w:ascii="仿宋_GB2312" w:hAnsi="微软雅黑" w:eastAsia="仿宋_GB2312"/>
          <w:b/>
          <w:sz w:val="28"/>
          <w:szCs w:val="28"/>
        </w:rPr>
        <w:t>四、培养目标</w:t>
      </w:r>
    </w:p>
    <w:p>
      <w:pPr>
        <w:spacing w:line="300" w:lineRule="auto"/>
        <w:ind w:firstLine="420" w:firstLineChars="200"/>
        <w:rPr>
          <w:rFonts w:ascii="宋体" w:hAnsi="宋体" w:cs="宋体"/>
          <w:szCs w:val="21"/>
        </w:rPr>
      </w:pPr>
      <w:r>
        <w:rPr>
          <w:rFonts w:hint="eastAsia" w:cs="宋体"/>
          <w:szCs w:val="21"/>
        </w:rPr>
        <w:t>本专业培养与我国社会主义现代化建设要求相适应，具有习近平新时代中国特色社会主义思想基础、德、智、体、美全面发展，具备良好的职业道德和职业素养，掌握现代文化产业理念，熟悉图文设计原理和营销管理知识，具备文化创意、文化产品营销、文化活动策划能力，图文设计编排能力，文字处理能力，运用传统民族元素进行设计及产品开发的实践能力，适应地方现代文化创意产业的发展，具有职业提升潜力的高素质技术技能型人才。其核心目标是培养学生的创造力，成为有创意能创新会创业的文化工匠、能工巧匠。</w:t>
      </w:r>
    </w:p>
    <w:p>
      <w:pPr>
        <w:spacing w:line="300" w:lineRule="auto"/>
        <w:ind w:firstLine="420" w:firstLineChars="200"/>
        <w:rPr>
          <w:rFonts w:ascii="宋体" w:hAnsi="宋体" w:cs="宋体"/>
          <w:szCs w:val="21"/>
        </w:rPr>
      </w:pPr>
    </w:p>
    <w:p>
      <w:pPr>
        <w:spacing w:line="300" w:lineRule="auto"/>
        <w:rPr>
          <w:rFonts w:ascii="仿宋_GB2312" w:hAnsi="仿宋" w:eastAsia="仿宋_GB2312"/>
          <w:b/>
          <w:sz w:val="28"/>
          <w:szCs w:val="28"/>
        </w:rPr>
      </w:pPr>
      <w:r>
        <w:rPr>
          <w:rFonts w:hint="eastAsia" w:ascii="仿宋_GB2312" w:hAnsi="仿宋" w:eastAsia="仿宋_GB2312"/>
          <w:b/>
          <w:sz w:val="28"/>
          <w:szCs w:val="28"/>
        </w:rPr>
        <w:t>五、职业（岗位）面向、职业资格及继续学习专业</w:t>
      </w:r>
    </w:p>
    <w:p>
      <w:pPr>
        <w:spacing w:line="300" w:lineRule="auto"/>
        <w:ind w:firstLine="422" w:firstLineChars="200"/>
        <w:rPr>
          <w:rFonts w:cs="宋体"/>
          <w:b/>
          <w:szCs w:val="21"/>
        </w:rPr>
      </w:pPr>
      <w:r>
        <w:rPr>
          <w:rFonts w:hint="eastAsia" w:cs="宋体"/>
          <w:b/>
          <w:szCs w:val="21"/>
        </w:rPr>
        <w:t>（一）职业面向</w:t>
      </w:r>
    </w:p>
    <w:p>
      <w:pPr>
        <w:spacing w:line="300" w:lineRule="auto"/>
        <w:ind w:firstLine="420" w:firstLineChars="200"/>
        <w:rPr>
          <w:rFonts w:cs="宋体"/>
          <w:szCs w:val="21"/>
        </w:rPr>
      </w:pPr>
      <w:r>
        <w:rPr>
          <w:rFonts w:hint="eastAsia" w:cs="宋体"/>
          <w:szCs w:val="21"/>
        </w:rPr>
        <w:t>1.核心工作岗位：</w:t>
      </w:r>
    </w:p>
    <w:p>
      <w:pPr>
        <w:spacing w:line="300" w:lineRule="auto"/>
        <w:ind w:firstLine="420" w:firstLineChars="200"/>
        <w:rPr>
          <w:rFonts w:cs="宋体"/>
          <w:szCs w:val="21"/>
        </w:rPr>
      </w:pPr>
      <w:r>
        <w:rPr>
          <w:rFonts w:hint="eastAsia" w:cs="宋体"/>
          <w:szCs w:val="21"/>
        </w:rPr>
        <w:t>学生就职范围涉及会展与广告公司、婚庆公司、出版发行、媒体等机构，核心工作岗位为文案企划师、品牌策划管理师、文化产业创意师、平面设计师。</w:t>
      </w:r>
    </w:p>
    <w:p>
      <w:pPr>
        <w:spacing w:line="300" w:lineRule="auto"/>
        <w:ind w:firstLine="420" w:firstLineChars="200"/>
        <w:rPr>
          <w:rFonts w:cs="宋体"/>
          <w:szCs w:val="21"/>
        </w:rPr>
      </w:pPr>
      <w:r>
        <w:rPr>
          <w:rFonts w:hint="eastAsia" w:cs="宋体"/>
          <w:szCs w:val="21"/>
        </w:rPr>
        <w:t>2.其他工作岗位：</w:t>
      </w:r>
    </w:p>
    <w:p>
      <w:pPr>
        <w:spacing w:line="300" w:lineRule="auto"/>
        <w:ind w:firstLine="420" w:firstLineChars="200"/>
        <w:rPr>
          <w:rFonts w:cs="宋体"/>
          <w:szCs w:val="21"/>
        </w:rPr>
      </w:pPr>
      <w:r>
        <w:rPr>
          <w:rFonts w:hint="eastAsia" w:cs="宋体"/>
          <w:szCs w:val="21"/>
        </w:rPr>
        <w:t>美工编辑、品牌销售推广、活动策划、会展设计、营销、管理等相关工作。</w:t>
      </w:r>
    </w:p>
    <w:p>
      <w:pPr>
        <w:spacing w:line="360" w:lineRule="auto"/>
        <w:ind w:firstLine="422" w:firstLineChars="200"/>
        <w:jc w:val="center"/>
        <w:rPr>
          <w:rFonts w:ascii="宋体" w:hAnsi="宋体" w:cs="宋体"/>
          <w:b/>
          <w:szCs w:val="21"/>
        </w:rPr>
      </w:pPr>
    </w:p>
    <w:p>
      <w:pPr>
        <w:spacing w:line="360" w:lineRule="auto"/>
        <w:ind w:firstLine="422" w:firstLineChars="200"/>
        <w:jc w:val="center"/>
        <w:rPr>
          <w:rFonts w:ascii="宋体" w:hAnsi="宋体" w:cs="宋体"/>
          <w:b/>
          <w:szCs w:val="21"/>
        </w:rPr>
      </w:pPr>
    </w:p>
    <w:p>
      <w:pPr>
        <w:spacing w:line="360" w:lineRule="auto"/>
        <w:ind w:firstLine="422" w:firstLineChars="200"/>
        <w:jc w:val="center"/>
        <w:rPr>
          <w:rFonts w:ascii="宋体" w:hAnsi="宋体" w:cs="宋体"/>
          <w:bCs/>
          <w:szCs w:val="21"/>
        </w:rPr>
      </w:pPr>
      <w:r>
        <w:rPr>
          <w:rFonts w:hint="eastAsia" w:ascii="宋体" w:hAnsi="宋体" w:cs="宋体"/>
          <w:b/>
          <w:szCs w:val="21"/>
        </w:rPr>
        <w:t>岗位工作任务与职业能力分析表</w:t>
      </w:r>
    </w:p>
    <w:tbl>
      <w:tblPr>
        <w:tblStyle w:val="9"/>
        <w:tblW w:w="85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524"/>
        <w:gridCol w:w="1935"/>
        <w:gridCol w:w="3060"/>
        <w:gridCol w:w="14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6" w:type="dxa"/>
            <w:tcBorders>
              <w:tl2br w:val="nil"/>
              <w:tr2bl w:val="nil"/>
            </w:tcBorders>
            <w:vAlign w:val="center"/>
          </w:tcPr>
          <w:p>
            <w:pPr>
              <w:spacing w:beforeAutospacing="0" w:afterAutospacing="0" w:line="300" w:lineRule="auto"/>
              <w:jc w:val="center"/>
              <w:rPr>
                <w:rFonts w:cs="宋体" w:asciiTheme="minorHAnsi" w:hAnsiTheme="minorHAnsi" w:eastAsiaTheme="minorEastAsia"/>
                <w:bCs/>
                <w:szCs w:val="21"/>
              </w:rPr>
            </w:pPr>
            <w:r>
              <w:rPr>
                <w:rFonts w:hint="eastAsia" w:cs="宋体" w:asciiTheme="minorHAnsi" w:hAnsiTheme="minorHAnsi" w:eastAsiaTheme="minorEastAsia"/>
                <w:bCs/>
                <w:szCs w:val="21"/>
              </w:rPr>
              <w:t>序号</w:t>
            </w:r>
          </w:p>
        </w:tc>
        <w:tc>
          <w:tcPr>
            <w:tcW w:w="1524" w:type="dxa"/>
            <w:tcBorders>
              <w:tl2br w:val="nil"/>
              <w:tr2bl w:val="nil"/>
            </w:tcBorders>
            <w:vAlign w:val="center"/>
          </w:tcPr>
          <w:p>
            <w:pPr>
              <w:spacing w:beforeAutospacing="0" w:afterAutospacing="0" w:line="300" w:lineRule="auto"/>
              <w:jc w:val="center"/>
              <w:rPr>
                <w:rFonts w:cs="宋体" w:asciiTheme="minorHAnsi" w:hAnsiTheme="minorHAnsi" w:eastAsiaTheme="minorEastAsia"/>
                <w:bCs/>
                <w:szCs w:val="21"/>
              </w:rPr>
            </w:pPr>
            <w:r>
              <w:rPr>
                <w:rFonts w:hint="eastAsia" w:cs="宋体" w:asciiTheme="minorHAnsi" w:hAnsiTheme="minorHAnsi" w:eastAsiaTheme="minorEastAsia"/>
                <w:bCs/>
                <w:szCs w:val="21"/>
              </w:rPr>
              <w:t>核心工作岗位及相关工作岗位</w:t>
            </w:r>
          </w:p>
        </w:tc>
        <w:tc>
          <w:tcPr>
            <w:tcW w:w="1935" w:type="dxa"/>
            <w:tcBorders>
              <w:tl2br w:val="nil"/>
              <w:tr2bl w:val="nil"/>
            </w:tcBorders>
            <w:vAlign w:val="center"/>
          </w:tcPr>
          <w:p>
            <w:pPr>
              <w:spacing w:beforeAutospacing="0" w:afterAutospacing="0" w:line="300" w:lineRule="auto"/>
              <w:jc w:val="center"/>
              <w:rPr>
                <w:rFonts w:cs="宋体" w:asciiTheme="minorHAnsi" w:hAnsiTheme="minorHAnsi" w:eastAsiaTheme="minorEastAsia"/>
                <w:bCs/>
                <w:szCs w:val="21"/>
              </w:rPr>
            </w:pPr>
            <w:r>
              <w:rPr>
                <w:rFonts w:hint="eastAsia" w:cs="宋体" w:asciiTheme="minorHAnsi" w:hAnsiTheme="minorHAnsi" w:eastAsiaTheme="minorEastAsia"/>
                <w:bCs/>
                <w:szCs w:val="21"/>
              </w:rPr>
              <w:t>岗位描述</w:t>
            </w:r>
          </w:p>
        </w:tc>
        <w:tc>
          <w:tcPr>
            <w:tcW w:w="3060" w:type="dxa"/>
            <w:tcBorders>
              <w:tl2br w:val="nil"/>
              <w:tr2bl w:val="nil"/>
            </w:tcBorders>
            <w:vAlign w:val="center"/>
          </w:tcPr>
          <w:p>
            <w:pPr>
              <w:spacing w:beforeAutospacing="0" w:afterAutospacing="0" w:line="300" w:lineRule="auto"/>
              <w:jc w:val="center"/>
              <w:rPr>
                <w:rFonts w:cs="宋体" w:asciiTheme="minorHAnsi" w:hAnsiTheme="minorHAnsi" w:eastAsiaTheme="minorEastAsia"/>
                <w:bCs/>
                <w:szCs w:val="21"/>
              </w:rPr>
            </w:pPr>
            <w:r>
              <w:rPr>
                <w:rFonts w:hint="eastAsia" w:cs="宋体" w:asciiTheme="minorHAnsi" w:hAnsiTheme="minorHAnsi" w:eastAsiaTheme="minorEastAsia"/>
                <w:bCs/>
                <w:szCs w:val="21"/>
              </w:rPr>
              <w:t>典型工作任务</w:t>
            </w:r>
          </w:p>
        </w:tc>
        <w:tc>
          <w:tcPr>
            <w:tcW w:w="1455" w:type="dxa"/>
            <w:tcBorders>
              <w:tl2br w:val="nil"/>
              <w:tr2bl w:val="nil"/>
            </w:tcBorders>
            <w:vAlign w:val="center"/>
          </w:tcPr>
          <w:p>
            <w:pPr>
              <w:spacing w:beforeAutospacing="0" w:afterAutospacing="0" w:line="300" w:lineRule="auto"/>
              <w:jc w:val="center"/>
              <w:rPr>
                <w:rFonts w:cs="宋体" w:asciiTheme="minorHAnsi" w:hAnsiTheme="minorHAnsi" w:eastAsiaTheme="minorEastAsia"/>
                <w:bCs/>
                <w:szCs w:val="21"/>
              </w:rPr>
            </w:pPr>
            <w:r>
              <w:rPr>
                <w:rFonts w:hint="eastAsia" w:cs="宋体" w:asciiTheme="minorHAnsi" w:hAnsiTheme="minorHAnsi" w:eastAsiaTheme="minorEastAsia"/>
                <w:bCs/>
                <w:szCs w:val="21"/>
              </w:rPr>
              <w:t>职业能力要求与素质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0" w:hRule="atLeast"/>
          <w:jc w:val="center"/>
        </w:trPr>
        <w:tc>
          <w:tcPr>
            <w:tcW w:w="546"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1</w:t>
            </w:r>
          </w:p>
        </w:tc>
        <w:tc>
          <w:tcPr>
            <w:tcW w:w="1524"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文案企划师</w:t>
            </w:r>
          </w:p>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（核心岗位）</w:t>
            </w:r>
          </w:p>
        </w:tc>
        <w:tc>
          <w:tcPr>
            <w:tcW w:w="193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负责宣传推广、海报设计、策划方案写作。包括撰写海报文字、活动方案、主持人稿件、视频解说文字、公司网站、画册文字以及与公司品牌推广相关的文字拟定等。</w:t>
            </w:r>
          </w:p>
        </w:tc>
        <w:tc>
          <w:tcPr>
            <w:tcW w:w="3060" w:type="dxa"/>
            <w:tcBorders>
              <w:tl2br w:val="nil"/>
              <w:tr2bl w:val="nil"/>
            </w:tcBorders>
            <w:vAlign w:val="center"/>
          </w:tcPr>
          <w:p>
            <w:pPr>
              <w:numPr>
                <w:ilvl w:val="255"/>
                <w:numId w:val="0"/>
              </w:num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1.协助公司各类宣传策划方案的设计和撰写；</w:t>
            </w:r>
          </w:p>
          <w:p>
            <w:pPr>
              <w:numPr>
                <w:ilvl w:val="255"/>
                <w:numId w:val="0"/>
              </w:num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2.负责公司对外媒体和广告表现文字的撰写；</w:t>
            </w:r>
          </w:p>
          <w:p>
            <w:pPr>
              <w:numPr>
                <w:ilvl w:val="255"/>
                <w:numId w:val="0"/>
              </w:num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3.协助公司各类刊物的采编工作；</w:t>
            </w:r>
          </w:p>
          <w:p>
            <w:pPr>
              <w:numPr>
                <w:ilvl w:val="255"/>
                <w:numId w:val="0"/>
              </w:num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4.定期更新行业资讯，撰写行业快讯；</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5.负责媒体软文和广告资料的收集与整理。</w:t>
            </w:r>
          </w:p>
        </w:tc>
        <w:tc>
          <w:tcPr>
            <w:tcW w:w="145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1.表达、沟通的能力，文字处理能力；</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2.运用绘图软件制图、设计版面等基本能力。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6"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2</w:t>
            </w:r>
          </w:p>
        </w:tc>
        <w:tc>
          <w:tcPr>
            <w:tcW w:w="1524"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品牌策划</w:t>
            </w:r>
          </w:p>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管理师</w:t>
            </w:r>
          </w:p>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（核心岗位）</w:t>
            </w:r>
          </w:p>
        </w:tc>
        <w:tc>
          <w:tcPr>
            <w:tcW w:w="193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针对某个公司、项目、产品进行品牌的塑造。主要通过对品牌塑造对象的挖掘，找出其最核心的内涵，并通过各种媒体、活动、事件的炒作和包装，提升对象的品牌价值。</w:t>
            </w:r>
          </w:p>
        </w:tc>
        <w:tc>
          <w:tcPr>
            <w:tcW w:w="3060"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1.根据公司品牌战略制定实施计划，提出品牌推广、策划方案等具体方向和实施方案；</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2.管理，拓展运营渠道，开展企业形象、品牌定位与管理等工作；</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3.制订一系列活动方案，负责网站栏目及功能策划；</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4.完成公司重大营销策划、组织实施和效果分析等工作；针对不同的项目，开发推广策略；</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5.指导文案策划，配合营销部进行推广策划。</w:t>
            </w:r>
          </w:p>
        </w:tc>
        <w:tc>
          <w:tcPr>
            <w:tcW w:w="145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1.掌握现代文化产业理念，能够了解及分析企业文化，找出适合企业发展的品牌战略；</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2.运用传统民族元素进行设计及产品开发的实践能力；</w:t>
            </w:r>
          </w:p>
          <w:p>
            <w:pPr>
              <w:spacing w:beforeAutospacing="0" w:afterAutospacing="0" w:line="300" w:lineRule="auto"/>
              <w:jc w:val="left"/>
              <w:rPr>
                <w:rFonts w:cs="宋体" w:asciiTheme="minorHAnsi" w:hAnsiTheme="minorHAnsi" w:eastAsia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6"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3</w:t>
            </w:r>
          </w:p>
        </w:tc>
        <w:tc>
          <w:tcPr>
            <w:tcW w:w="1524"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文化产业</w:t>
            </w:r>
          </w:p>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创意师</w:t>
            </w:r>
          </w:p>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（核心岗位）</w:t>
            </w:r>
          </w:p>
        </w:tc>
        <w:tc>
          <w:tcPr>
            <w:tcW w:w="193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在文化产业运营过程中，通过创新手段进行项目创意、策划、实施，并能够创造文化价值、经济价值的专业化人才。</w:t>
            </w:r>
          </w:p>
          <w:p>
            <w:pPr>
              <w:spacing w:beforeAutospacing="0" w:afterAutospacing="0" w:line="300" w:lineRule="auto"/>
              <w:jc w:val="left"/>
              <w:rPr>
                <w:rFonts w:cs="宋体" w:asciiTheme="minorHAnsi" w:hAnsiTheme="minorHAnsi" w:eastAsiaTheme="minorEastAsia"/>
                <w:szCs w:val="21"/>
              </w:rPr>
            </w:pPr>
          </w:p>
        </w:tc>
        <w:tc>
          <w:tcPr>
            <w:tcW w:w="3060"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1.负责设计企业形象墙、海报、宣传册、名片等。</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2.品牌线上线下推广活动设计制作。</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3.配合人力资源部门搭建人力资源战略框架；</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4.通过CIS系统设计推广企业形象；</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5.推行企业文化体系建设。</w:t>
            </w:r>
          </w:p>
          <w:p>
            <w:pPr>
              <w:spacing w:beforeAutospacing="0" w:afterAutospacing="0" w:line="300" w:lineRule="auto"/>
              <w:jc w:val="left"/>
              <w:rPr>
                <w:rFonts w:cs="宋体" w:asciiTheme="minorHAnsi" w:hAnsiTheme="minorHAnsi" w:eastAsiaTheme="minorEastAsia"/>
                <w:szCs w:val="21"/>
              </w:rPr>
            </w:pPr>
          </w:p>
        </w:tc>
        <w:tc>
          <w:tcPr>
            <w:tcW w:w="145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1.表达、沟通的能力；</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2.制定和建立符合企业发展战略的企业文化体系；</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3.塑造、提炼和推广企业的愿景、共同价值观和使命。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546"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4</w:t>
            </w:r>
          </w:p>
        </w:tc>
        <w:tc>
          <w:tcPr>
            <w:tcW w:w="1524" w:type="dxa"/>
            <w:tcBorders>
              <w:tl2br w:val="nil"/>
              <w:tr2bl w:val="nil"/>
            </w:tcBorders>
            <w:vAlign w:val="center"/>
          </w:tcPr>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平面设计师</w:t>
            </w:r>
          </w:p>
          <w:p>
            <w:pPr>
              <w:spacing w:beforeAutospacing="0" w:afterAutospacing="0" w:line="300" w:lineRule="auto"/>
              <w:jc w:val="center"/>
              <w:rPr>
                <w:rFonts w:cs="宋体" w:asciiTheme="minorHAnsi" w:hAnsiTheme="minorHAnsi" w:eastAsiaTheme="minorEastAsia"/>
                <w:szCs w:val="21"/>
              </w:rPr>
            </w:pPr>
            <w:r>
              <w:rPr>
                <w:rFonts w:hint="eastAsia" w:cs="宋体" w:asciiTheme="minorHAnsi" w:hAnsiTheme="minorHAnsi" w:eastAsiaTheme="minorEastAsia"/>
                <w:szCs w:val="21"/>
              </w:rPr>
              <w:t>（核心岗位）</w:t>
            </w:r>
          </w:p>
        </w:tc>
        <w:tc>
          <w:tcPr>
            <w:tcW w:w="193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利用字体排印、视觉艺术、版面等方面的专业技巧，来达成创作计划的实现。</w:t>
            </w:r>
          </w:p>
        </w:tc>
        <w:tc>
          <w:tcPr>
            <w:tcW w:w="3060"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1.协助美术指导完成有关视觉表现的所有工作；</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2.负责平面、立体、包装、POP等的设计表现和执行；</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3.完稿设计上的一切详细描述和确定；</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4.收集与整理相关供应商的资料。</w:t>
            </w:r>
          </w:p>
        </w:tc>
        <w:tc>
          <w:tcPr>
            <w:tcW w:w="1455" w:type="dxa"/>
            <w:tcBorders>
              <w:tl2br w:val="nil"/>
              <w:tr2bl w:val="nil"/>
            </w:tcBorders>
            <w:vAlign w:val="center"/>
          </w:tcPr>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1.平面设计与创意能力；</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2.软件运用与图形制作能力；</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3.具备专业基本技能要求；</w:t>
            </w:r>
          </w:p>
          <w:p>
            <w:pPr>
              <w:spacing w:beforeAutospacing="0" w:afterAutospacing="0" w:line="300" w:lineRule="auto"/>
              <w:jc w:val="left"/>
              <w:rPr>
                <w:rFonts w:cs="宋体" w:asciiTheme="minorHAnsi" w:hAnsiTheme="minorHAnsi" w:eastAsiaTheme="minorEastAsia"/>
                <w:szCs w:val="21"/>
              </w:rPr>
            </w:pPr>
            <w:r>
              <w:rPr>
                <w:rFonts w:hint="eastAsia" w:cs="宋体" w:asciiTheme="minorHAnsi" w:hAnsiTheme="minorHAnsi" w:eastAsiaTheme="minorEastAsia"/>
                <w:szCs w:val="21"/>
              </w:rPr>
              <w:t>有责任心，良好的学习能力、沟通能力和团队合作能力</w:t>
            </w:r>
          </w:p>
        </w:tc>
      </w:tr>
    </w:tbl>
    <w:p>
      <w:pPr>
        <w:spacing w:line="360" w:lineRule="auto"/>
        <w:ind w:firstLine="422" w:firstLineChars="200"/>
        <w:jc w:val="left"/>
        <w:rPr>
          <w:rFonts w:ascii="宋体" w:hAnsi="宋体" w:cs="宋体"/>
          <w:b/>
          <w:szCs w:val="21"/>
        </w:rPr>
      </w:pPr>
    </w:p>
    <w:p>
      <w:pPr>
        <w:spacing w:line="300" w:lineRule="auto"/>
        <w:ind w:firstLine="422" w:firstLineChars="200"/>
        <w:jc w:val="left"/>
        <w:rPr>
          <w:rFonts w:ascii="宋体" w:hAnsi="宋体" w:cs="宋体"/>
          <w:b/>
          <w:szCs w:val="21"/>
        </w:rPr>
      </w:pPr>
      <w:r>
        <w:rPr>
          <w:rFonts w:hint="eastAsia" w:cs="宋体"/>
          <w:b/>
          <w:szCs w:val="21"/>
        </w:rPr>
        <w:t>（二）职业资格</w:t>
      </w:r>
    </w:p>
    <w:tbl>
      <w:tblPr>
        <w:tblStyle w:val="8"/>
        <w:tblW w:w="882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976"/>
        <w:gridCol w:w="1935"/>
        <w:gridCol w:w="1395"/>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20" w:type="dxa"/>
            <w:tcBorders>
              <w:tl2br w:val="nil"/>
              <w:tr2bl w:val="nil"/>
            </w:tcBorders>
            <w:vAlign w:val="center"/>
          </w:tcPr>
          <w:p>
            <w:pPr>
              <w:spacing w:line="360" w:lineRule="auto"/>
              <w:jc w:val="center"/>
              <w:rPr>
                <w:rFonts w:cs="宋体"/>
                <w:szCs w:val="21"/>
              </w:rPr>
            </w:pPr>
            <w:r>
              <w:rPr>
                <w:rFonts w:hint="eastAsia" w:cs="宋体"/>
                <w:szCs w:val="21"/>
              </w:rPr>
              <w:t>序号</w:t>
            </w:r>
          </w:p>
        </w:tc>
        <w:tc>
          <w:tcPr>
            <w:tcW w:w="2976" w:type="dxa"/>
            <w:tcBorders>
              <w:tl2br w:val="nil"/>
              <w:tr2bl w:val="nil"/>
            </w:tcBorders>
            <w:vAlign w:val="center"/>
          </w:tcPr>
          <w:p>
            <w:pPr>
              <w:spacing w:line="360" w:lineRule="auto"/>
              <w:jc w:val="center"/>
              <w:rPr>
                <w:rFonts w:cs="宋体"/>
                <w:szCs w:val="21"/>
              </w:rPr>
            </w:pPr>
            <w:r>
              <w:rPr>
                <w:rFonts w:hint="eastAsia" w:cs="宋体"/>
                <w:szCs w:val="21"/>
              </w:rPr>
              <w:t>证书名称</w:t>
            </w:r>
          </w:p>
        </w:tc>
        <w:tc>
          <w:tcPr>
            <w:tcW w:w="1935" w:type="dxa"/>
            <w:tcBorders>
              <w:tl2br w:val="nil"/>
              <w:tr2bl w:val="nil"/>
            </w:tcBorders>
            <w:vAlign w:val="center"/>
          </w:tcPr>
          <w:p>
            <w:pPr>
              <w:spacing w:line="360" w:lineRule="auto"/>
              <w:jc w:val="center"/>
              <w:rPr>
                <w:rFonts w:cs="宋体"/>
                <w:szCs w:val="21"/>
              </w:rPr>
            </w:pPr>
            <w:r>
              <w:rPr>
                <w:rFonts w:hint="eastAsia" w:cs="宋体"/>
                <w:szCs w:val="21"/>
              </w:rPr>
              <w:t>颁证单位</w:t>
            </w:r>
          </w:p>
        </w:tc>
        <w:tc>
          <w:tcPr>
            <w:tcW w:w="1395" w:type="dxa"/>
            <w:tcBorders>
              <w:tl2br w:val="nil"/>
              <w:tr2bl w:val="nil"/>
            </w:tcBorders>
            <w:vAlign w:val="center"/>
          </w:tcPr>
          <w:p>
            <w:pPr>
              <w:spacing w:line="360" w:lineRule="auto"/>
              <w:jc w:val="center"/>
              <w:rPr>
                <w:rFonts w:cs="宋体"/>
                <w:szCs w:val="21"/>
              </w:rPr>
            </w:pPr>
            <w:r>
              <w:rPr>
                <w:rFonts w:hint="eastAsia" w:cs="宋体"/>
                <w:szCs w:val="21"/>
              </w:rPr>
              <w:t>等级</w:t>
            </w:r>
          </w:p>
        </w:tc>
        <w:tc>
          <w:tcPr>
            <w:tcW w:w="1794" w:type="dxa"/>
            <w:tcBorders>
              <w:tl2br w:val="nil"/>
              <w:tr2bl w:val="nil"/>
            </w:tcBorders>
            <w:vAlign w:val="center"/>
          </w:tcPr>
          <w:p>
            <w:pPr>
              <w:spacing w:line="360" w:lineRule="auto"/>
              <w:jc w:val="center"/>
              <w:rPr>
                <w:rFonts w:cs="宋体"/>
                <w:szCs w:val="21"/>
              </w:rPr>
            </w:pPr>
            <w:r>
              <w:rPr>
                <w:rFonts w:hint="eastAsia" w:cs="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spacing w:line="360" w:lineRule="auto"/>
              <w:jc w:val="center"/>
              <w:rPr>
                <w:rFonts w:cs="宋体"/>
                <w:szCs w:val="21"/>
              </w:rPr>
            </w:pPr>
            <w:r>
              <w:rPr>
                <w:rFonts w:hint="eastAsia" w:cs="宋体"/>
                <w:szCs w:val="21"/>
              </w:rPr>
              <w:t>1</w:t>
            </w:r>
          </w:p>
        </w:tc>
        <w:tc>
          <w:tcPr>
            <w:tcW w:w="2976" w:type="dxa"/>
            <w:tcBorders>
              <w:tl2br w:val="nil"/>
              <w:tr2bl w:val="nil"/>
            </w:tcBorders>
            <w:vAlign w:val="center"/>
          </w:tcPr>
          <w:p>
            <w:pPr>
              <w:spacing w:line="360" w:lineRule="auto"/>
              <w:jc w:val="center"/>
              <w:rPr>
                <w:rFonts w:cs="宋体"/>
                <w:szCs w:val="21"/>
              </w:rPr>
            </w:pPr>
            <w:r>
              <w:rPr>
                <w:rFonts w:hint="eastAsia" w:cs="宋体"/>
                <w:szCs w:val="21"/>
              </w:rPr>
              <w:t>国家计算机等级考试证书</w:t>
            </w:r>
          </w:p>
        </w:tc>
        <w:tc>
          <w:tcPr>
            <w:tcW w:w="1935" w:type="dxa"/>
            <w:tcBorders>
              <w:tl2br w:val="nil"/>
              <w:tr2bl w:val="nil"/>
            </w:tcBorders>
            <w:vAlign w:val="center"/>
          </w:tcPr>
          <w:p>
            <w:pPr>
              <w:spacing w:line="360" w:lineRule="auto"/>
              <w:jc w:val="center"/>
              <w:rPr>
                <w:rFonts w:cs="宋体"/>
                <w:szCs w:val="21"/>
              </w:rPr>
            </w:pPr>
            <w:r>
              <w:rPr>
                <w:rFonts w:hint="eastAsia" w:cs="宋体"/>
                <w:szCs w:val="21"/>
              </w:rPr>
              <w:t>教育部考试中心</w:t>
            </w:r>
          </w:p>
        </w:tc>
        <w:tc>
          <w:tcPr>
            <w:tcW w:w="1395" w:type="dxa"/>
            <w:tcBorders>
              <w:tl2br w:val="nil"/>
              <w:tr2bl w:val="nil"/>
            </w:tcBorders>
            <w:vAlign w:val="center"/>
          </w:tcPr>
          <w:p>
            <w:pPr>
              <w:spacing w:line="360" w:lineRule="auto"/>
              <w:jc w:val="center"/>
              <w:rPr>
                <w:rFonts w:cs="宋体"/>
                <w:szCs w:val="21"/>
              </w:rPr>
            </w:pPr>
            <w:r>
              <w:rPr>
                <w:rFonts w:hint="eastAsia" w:cs="宋体"/>
                <w:szCs w:val="21"/>
              </w:rPr>
              <w:t>一级</w:t>
            </w:r>
          </w:p>
        </w:tc>
        <w:tc>
          <w:tcPr>
            <w:tcW w:w="1794" w:type="dxa"/>
            <w:vMerge w:val="restart"/>
            <w:tcBorders>
              <w:tl2br w:val="nil"/>
              <w:tr2bl w:val="nil"/>
            </w:tcBorders>
            <w:vAlign w:val="center"/>
          </w:tcPr>
          <w:p>
            <w:pPr>
              <w:spacing w:line="360" w:lineRule="auto"/>
              <w:jc w:val="center"/>
              <w:rPr>
                <w:rFonts w:cs="宋体"/>
                <w:szCs w:val="21"/>
              </w:rPr>
            </w:pPr>
            <w:r>
              <w:rPr>
                <w:rFonts w:hint="eastAsia" w:cs="宋体"/>
                <w:szCs w:val="21"/>
              </w:rPr>
              <w:t>任选其一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spacing w:line="360" w:lineRule="auto"/>
              <w:jc w:val="center"/>
              <w:rPr>
                <w:rFonts w:cs="宋体"/>
                <w:szCs w:val="21"/>
              </w:rPr>
            </w:pPr>
            <w:r>
              <w:rPr>
                <w:rFonts w:hint="eastAsia" w:cs="宋体"/>
                <w:szCs w:val="21"/>
              </w:rPr>
              <w:t>2</w:t>
            </w:r>
          </w:p>
        </w:tc>
        <w:tc>
          <w:tcPr>
            <w:tcW w:w="2976" w:type="dxa"/>
            <w:tcBorders>
              <w:tl2br w:val="nil"/>
              <w:tr2bl w:val="nil"/>
            </w:tcBorders>
            <w:vAlign w:val="center"/>
          </w:tcPr>
          <w:p>
            <w:pPr>
              <w:jc w:val="center"/>
              <w:rPr>
                <w:rFonts w:cs="宋体"/>
                <w:szCs w:val="21"/>
              </w:rPr>
            </w:pPr>
            <w:r>
              <w:rPr>
                <w:rFonts w:hint="eastAsia" w:cs="宋体"/>
                <w:szCs w:val="21"/>
              </w:rPr>
              <w:t>全国计算机信息高新技术考试证书</w:t>
            </w:r>
          </w:p>
        </w:tc>
        <w:tc>
          <w:tcPr>
            <w:tcW w:w="1935" w:type="dxa"/>
            <w:tcBorders>
              <w:tl2br w:val="nil"/>
              <w:tr2bl w:val="nil"/>
            </w:tcBorders>
            <w:vAlign w:val="center"/>
          </w:tcPr>
          <w:p>
            <w:pPr>
              <w:spacing w:line="360" w:lineRule="auto"/>
              <w:jc w:val="center"/>
              <w:rPr>
                <w:rFonts w:cs="宋体"/>
                <w:szCs w:val="21"/>
              </w:rPr>
            </w:pPr>
            <w:r>
              <w:rPr>
                <w:rFonts w:hint="eastAsia" w:cs="宋体"/>
                <w:szCs w:val="21"/>
              </w:rPr>
              <w:t>人力资源和社会保障部</w:t>
            </w:r>
          </w:p>
        </w:tc>
        <w:tc>
          <w:tcPr>
            <w:tcW w:w="1395" w:type="dxa"/>
            <w:tcBorders>
              <w:tl2br w:val="nil"/>
              <w:tr2bl w:val="nil"/>
            </w:tcBorders>
            <w:vAlign w:val="center"/>
          </w:tcPr>
          <w:p>
            <w:pPr>
              <w:rPr>
                <w:rFonts w:cs="宋体"/>
                <w:szCs w:val="21"/>
              </w:rPr>
            </w:pPr>
            <w:r>
              <w:rPr>
                <w:rFonts w:hint="eastAsia" w:cs="宋体"/>
                <w:szCs w:val="21"/>
              </w:rPr>
              <w:t>四级证书（办公自动化模块）</w:t>
            </w:r>
          </w:p>
        </w:tc>
        <w:tc>
          <w:tcPr>
            <w:tcW w:w="1794" w:type="dxa"/>
            <w:vMerge w:val="continue"/>
            <w:tcBorders>
              <w:tl2br w:val="nil"/>
              <w:tr2bl w:val="nil"/>
            </w:tcBorders>
            <w:vAlign w:val="center"/>
          </w:tcPr>
          <w:p>
            <w:pPr>
              <w:spacing w:line="360" w:lineRule="auto"/>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jc w:val="center"/>
              <w:rPr>
                <w:rFonts w:cs="宋体"/>
                <w:szCs w:val="21"/>
              </w:rPr>
            </w:pPr>
            <w:r>
              <w:rPr>
                <w:rFonts w:hint="eastAsia" w:cs="宋体"/>
                <w:kern w:val="0"/>
                <w:szCs w:val="21"/>
                <w:lang w:bidi="th-TH"/>
              </w:rPr>
              <w:t>3</w:t>
            </w:r>
          </w:p>
        </w:tc>
        <w:tc>
          <w:tcPr>
            <w:tcW w:w="2976" w:type="dxa"/>
            <w:tcBorders>
              <w:tl2br w:val="nil"/>
              <w:tr2bl w:val="nil"/>
            </w:tcBorders>
            <w:vAlign w:val="center"/>
          </w:tcPr>
          <w:p>
            <w:pPr>
              <w:ind w:firstLine="420" w:firstLineChars="200"/>
              <w:rPr>
                <w:rFonts w:cs="宋体"/>
                <w:szCs w:val="21"/>
              </w:rPr>
            </w:pPr>
            <w:r>
              <w:rPr>
                <w:rFonts w:hint="eastAsia" w:cs="宋体"/>
                <w:kern w:val="0"/>
                <w:szCs w:val="21"/>
              </w:rPr>
              <w:t>NACG广告设计师</w:t>
            </w:r>
          </w:p>
        </w:tc>
        <w:tc>
          <w:tcPr>
            <w:tcW w:w="1935" w:type="dxa"/>
            <w:tcBorders>
              <w:tl2br w:val="nil"/>
              <w:tr2bl w:val="nil"/>
            </w:tcBorders>
            <w:vAlign w:val="center"/>
          </w:tcPr>
          <w:p>
            <w:pPr>
              <w:jc w:val="center"/>
              <w:rPr>
                <w:rFonts w:cs="宋体"/>
                <w:szCs w:val="21"/>
              </w:rPr>
            </w:pPr>
            <w:r>
              <w:rPr>
                <w:rFonts w:hint="eastAsia" w:cs="宋体"/>
                <w:kern w:val="0"/>
                <w:szCs w:val="21"/>
              </w:rPr>
              <w:t>工业与信息化部</w:t>
            </w:r>
          </w:p>
        </w:tc>
        <w:tc>
          <w:tcPr>
            <w:tcW w:w="1395" w:type="dxa"/>
            <w:tcBorders>
              <w:tl2br w:val="nil"/>
              <w:tr2bl w:val="nil"/>
            </w:tcBorders>
            <w:vAlign w:val="center"/>
          </w:tcPr>
          <w:p>
            <w:pPr>
              <w:jc w:val="center"/>
              <w:rPr>
                <w:rFonts w:cs="宋体"/>
                <w:color w:val="FF0000"/>
                <w:szCs w:val="21"/>
              </w:rPr>
            </w:pPr>
            <w:r>
              <w:rPr>
                <w:rFonts w:hint="eastAsia" w:cs="宋体"/>
                <w:szCs w:val="21"/>
              </w:rPr>
              <w:t>合格</w:t>
            </w:r>
          </w:p>
        </w:tc>
        <w:tc>
          <w:tcPr>
            <w:tcW w:w="1794" w:type="dxa"/>
            <w:vMerge w:val="restart"/>
            <w:tcBorders>
              <w:tl2br w:val="nil"/>
              <w:tr2bl w:val="nil"/>
            </w:tcBorders>
            <w:vAlign w:val="center"/>
          </w:tcPr>
          <w:p>
            <w:pPr>
              <w:jc w:val="center"/>
              <w:rPr>
                <w:rFonts w:cs="宋体"/>
                <w:szCs w:val="21"/>
              </w:rPr>
            </w:pPr>
            <w:r>
              <w:rPr>
                <w:rFonts w:hint="eastAsia" w:cs="宋体"/>
                <w:szCs w:val="21"/>
              </w:rPr>
              <w:t>任选其一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jc w:val="center"/>
              <w:rPr>
                <w:rFonts w:cs="宋体"/>
                <w:kern w:val="0"/>
                <w:szCs w:val="21"/>
                <w:lang w:bidi="th-TH"/>
              </w:rPr>
            </w:pPr>
            <w:r>
              <w:rPr>
                <w:rFonts w:hint="eastAsia" w:cs="宋体"/>
                <w:kern w:val="0"/>
                <w:szCs w:val="21"/>
                <w:lang w:bidi="th-TH"/>
              </w:rPr>
              <w:t>4</w:t>
            </w:r>
          </w:p>
        </w:tc>
        <w:tc>
          <w:tcPr>
            <w:tcW w:w="2976" w:type="dxa"/>
            <w:tcBorders>
              <w:tl2br w:val="nil"/>
              <w:tr2bl w:val="nil"/>
            </w:tcBorders>
            <w:vAlign w:val="center"/>
          </w:tcPr>
          <w:p>
            <w:pPr>
              <w:widowControl/>
              <w:jc w:val="center"/>
              <w:rPr>
                <w:rFonts w:cs="宋体"/>
                <w:kern w:val="0"/>
                <w:szCs w:val="21"/>
              </w:rPr>
            </w:pPr>
            <w:r>
              <w:rPr>
                <w:rFonts w:hint="eastAsia" w:cs="宋体"/>
                <w:kern w:val="0"/>
                <w:szCs w:val="21"/>
              </w:rPr>
              <w:t>NACG平面设计师</w:t>
            </w:r>
          </w:p>
          <w:p>
            <w:pPr>
              <w:rPr>
                <w:rFonts w:cs="宋体"/>
                <w:szCs w:val="21"/>
              </w:rPr>
            </w:pPr>
          </w:p>
        </w:tc>
        <w:tc>
          <w:tcPr>
            <w:tcW w:w="1935" w:type="dxa"/>
            <w:tcBorders>
              <w:tl2br w:val="nil"/>
              <w:tr2bl w:val="nil"/>
            </w:tcBorders>
            <w:vAlign w:val="center"/>
          </w:tcPr>
          <w:p>
            <w:pPr>
              <w:jc w:val="center"/>
              <w:rPr>
                <w:rFonts w:cs="宋体"/>
                <w:kern w:val="0"/>
                <w:szCs w:val="21"/>
              </w:rPr>
            </w:pPr>
            <w:r>
              <w:rPr>
                <w:rFonts w:hint="eastAsia" w:cs="宋体"/>
                <w:kern w:val="0"/>
                <w:szCs w:val="21"/>
              </w:rPr>
              <w:t>工业与信息化部</w:t>
            </w:r>
          </w:p>
        </w:tc>
        <w:tc>
          <w:tcPr>
            <w:tcW w:w="1395" w:type="dxa"/>
            <w:tcBorders>
              <w:tl2br w:val="nil"/>
              <w:tr2bl w:val="nil"/>
            </w:tcBorders>
            <w:vAlign w:val="center"/>
          </w:tcPr>
          <w:p>
            <w:pPr>
              <w:jc w:val="center"/>
              <w:rPr>
                <w:rFonts w:cs="宋体"/>
                <w:kern w:val="0"/>
                <w:szCs w:val="21"/>
                <w:lang w:bidi="th-TH"/>
              </w:rPr>
            </w:pPr>
            <w:r>
              <w:rPr>
                <w:rFonts w:hint="eastAsia" w:cs="宋体"/>
                <w:kern w:val="0"/>
                <w:szCs w:val="21"/>
                <w:lang w:bidi="th-TH"/>
              </w:rPr>
              <w:t>合格</w:t>
            </w:r>
          </w:p>
        </w:tc>
        <w:tc>
          <w:tcPr>
            <w:tcW w:w="1794" w:type="dxa"/>
            <w:vMerge w:val="continue"/>
            <w:tcBorders>
              <w:tl2br w:val="nil"/>
              <w:tr2bl w:val="nil"/>
            </w:tcBorders>
            <w:vAlign w:val="center"/>
          </w:tcPr>
          <w:p>
            <w:pPr>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jc w:val="center"/>
              <w:rPr>
                <w:rFonts w:cs="宋体"/>
                <w:szCs w:val="21"/>
              </w:rPr>
            </w:pPr>
            <w:r>
              <w:rPr>
                <w:rFonts w:hint="eastAsia" w:cs="宋体"/>
                <w:kern w:val="0"/>
                <w:szCs w:val="21"/>
                <w:lang w:bidi="th-TH"/>
              </w:rPr>
              <w:t>5</w:t>
            </w:r>
          </w:p>
        </w:tc>
        <w:tc>
          <w:tcPr>
            <w:tcW w:w="2976" w:type="dxa"/>
            <w:tcBorders>
              <w:tl2br w:val="nil"/>
              <w:tr2bl w:val="nil"/>
            </w:tcBorders>
            <w:vAlign w:val="center"/>
          </w:tcPr>
          <w:p>
            <w:pPr>
              <w:widowControl/>
              <w:jc w:val="center"/>
              <w:rPr>
                <w:rFonts w:cs="宋体"/>
                <w:kern w:val="0"/>
                <w:szCs w:val="21"/>
              </w:rPr>
            </w:pPr>
            <w:r>
              <w:rPr>
                <w:rFonts w:hint="eastAsia" w:cs="宋体"/>
                <w:kern w:val="0"/>
                <w:szCs w:val="21"/>
              </w:rPr>
              <w:t>NACG室内设计师</w:t>
            </w:r>
          </w:p>
          <w:p>
            <w:pPr>
              <w:widowControl/>
              <w:jc w:val="center"/>
              <w:rPr>
                <w:rFonts w:cs="宋体"/>
                <w:kern w:val="0"/>
                <w:szCs w:val="21"/>
              </w:rPr>
            </w:pPr>
            <w:r>
              <w:rPr>
                <w:rFonts w:hint="eastAsia" w:cs="宋体"/>
                <w:kern w:val="0"/>
                <w:szCs w:val="21"/>
              </w:rPr>
              <w:t>NACG三维动画师（全国网络与信息技术培训）</w:t>
            </w:r>
          </w:p>
          <w:p>
            <w:pPr>
              <w:rPr>
                <w:rFonts w:cs="宋体"/>
                <w:szCs w:val="21"/>
              </w:rPr>
            </w:pPr>
          </w:p>
        </w:tc>
        <w:tc>
          <w:tcPr>
            <w:tcW w:w="1935" w:type="dxa"/>
            <w:tcBorders>
              <w:tl2br w:val="nil"/>
              <w:tr2bl w:val="nil"/>
            </w:tcBorders>
            <w:vAlign w:val="center"/>
          </w:tcPr>
          <w:p>
            <w:pPr>
              <w:jc w:val="center"/>
              <w:rPr>
                <w:rFonts w:cs="宋体"/>
                <w:szCs w:val="21"/>
              </w:rPr>
            </w:pPr>
            <w:r>
              <w:rPr>
                <w:rFonts w:hint="eastAsia" w:cs="宋体"/>
                <w:kern w:val="0"/>
                <w:szCs w:val="21"/>
              </w:rPr>
              <w:t>工业与信息化部</w:t>
            </w:r>
          </w:p>
        </w:tc>
        <w:tc>
          <w:tcPr>
            <w:tcW w:w="1395" w:type="dxa"/>
            <w:tcBorders>
              <w:tl2br w:val="nil"/>
              <w:tr2bl w:val="nil"/>
            </w:tcBorders>
            <w:vAlign w:val="center"/>
          </w:tcPr>
          <w:p>
            <w:pPr>
              <w:jc w:val="center"/>
              <w:rPr>
                <w:rFonts w:cs="宋体"/>
                <w:szCs w:val="21"/>
              </w:rPr>
            </w:pPr>
            <w:r>
              <w:rPr>
                <w:rFonts w:hint="eastAsia" w:cs="宋体"/>
                <w:kern w:val="0"/>
                <w:szCs w:val="21"/>
                <w:lang w:bidi="th-TH"/>
              </w:rPr>
              <w:t>合格</w:t>
            </w:r>
          </w:p>
        </w:tc>
        <w:tc>
          <w:tcPr>
            <w:tcW w:w="1794" w:type="dxa"/>
            <w:vMerge w:val="continue"/>
            <w:tcBorders>
              <w:tl2br w:val="nil"/>
              <w:tr2bl w:val="nil"/>
            </w:tcBorders>
            <w:vAlign w:val="center"/>
          </w:tcPr>
          <w:p>
            <w:pPr>
              <w:spacing w:line="360" w:lineRule="auto"/>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jc w:val="center"/>
              <w:rPr>
                <w:rFonts w:cs="宋体"/>
                <w:szCs w:val="21"/>
              </w:rPr>
            </w:pPr>
            <w:r>
              <w:rPr>
                <w:rFonts w:hint="eastAsia" w:cs="宋体"/>
                <w:kern w:val="0"/>
                <w:szCs w:val="21"/>
                <w:lang w:bidi="th-TH"/>
              </w:rPr>
              <w:t>6</w:t>
            </w:r>
          </w:p>
        </w:tc>
        <w:tc>
          <w:tcPr>
            <w:tcW w:w="2976" w:type="dxa"/>
            <w:tcBorders>
              <w:tl2br w:val="nil"/>
              <w:tr2bl w:val="nil"/>
            </w:tcBorders>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文创产品数字化设计职业技能等级证书</w:t>
            </w:r>
          </w:p>
        </w:tc>
        <w:tc>
          <w:tcPr>
            <w:tcW w:w="1935" w:type="dxa"/>
            <w:tcBorders>
              <w:tl2br w:val="nil"/>
              <w:tr2bl w:val="nil"/>
            </w:tcBorders>
            <w:vAlign w:val="center"/>
          </w:tcPr>
          <w:p>
            <w:pPr>
              <w:tabs>
                <w:tab w:val="left" w:pos="180"/>
                <w:tab w:val="left" w:pos="1080"/>
                <w:tab w:val="left" w:pos="1980"/>
              </w:tabs>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val="en-US" w:eastAsia="zh-CN"/>
              </w:rPr>
              <w:t>教育部1+x证书</w:t>
            </w:r>
          </w:p>
        </w:tc>
        <w:tc>
          <w:tcPr>
            <w:tcW w:w="1395" w:type="dxa"/>
            <w:tcBorders>
              <w:tl2br w:val="nil"/>
              <w:tr2bl w:val="nil"/>
            </w:tcBorders>
            <w:vAlign w:val="center"/>
          </w:tcPr>
          <w:p>
            <w:pPr>
              <w:tabs>
                <w:tab w:val="left" w:pos="180"/>
                <w:tab w:val="left" w:pos="1080"/>
                <w:tab w:val="left" w:pos="1980"/>
              </w:tabs>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合格</w:t>
            </w:r>
          </w:p>
        </w:tc>
        <w:tc>
          <w:tcPr>
            <w:tcW w:w="1794" w:type="dxa"/>
            <w:vMerge w:val="continue"/>
            <w:tcBorders>
              <w:tl2br w:val="nil"/>
              <w:tr2bl w:val="nil"/>
            </w:tcBorders>
            <w:vAlign w:val="center"/>
          </w:tcPr>
          <w:p>
            <w:pPr>
              <w:spacing w:line="360" w:lineRule="auto"/>
              <w:jc w:val="center"/>
              <w:rPr>
                <w:rFonts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0" w:type="dxa"/>
            <w:tcBorders>
              <w:tl2br w:val="nil"/>
              <w:tr2bl w:val="nil"/>
            </w:tcBorders>
            <w:vAlign w:val="center"/>
          </w:tcPr>
          <w:p>
            <w:pPr>
              <w:jc w:val="center"/>
              <w:rPr>
                <w:rFonts w:cs="宋体"/>
                <w:szCs w:val="21"/>
              </w:rPr>
            </w:pPr>
            <w:r>
              <w:rPr>
                <w:rFonts w:hint="eastAsia" w:cs="宋体"/>
                <w:szCs w:val="21"/>
              </w:rPr>
              <w:t>7</w:t>
            </w:r>
          </w:p>
        </w:tc>
        <w:tc>
          <w:tcPr>
            <w:tcW w:w="2976" w:type="dxa"/>
            <w:tcBorders>
              <w:tl2br w:val="nil"/>
              <w:tr2bl w:val="nil"/>
            </w:tcBorders>
            <w:vAlign w:val="center"/>
          </w:tcPr>
          <w:p>
            <w:pPr>
              <w:rPr>
                <w:rFonts w:hint="eastAsia" w:ascii="宋体" w:hAnsi="宋体" w:eastAsia="宋体" w:cs="宋体"/>
                <w:sz w:val="21"/>
                <w:szCs w:val="21"/>
                <w:lang w:eastAsia="zh-CN"/>
              </w:rPr>
            </w:pPr>
            <w:r>
              <w:rPr>
                <w:rFonts w:hint="eastAsia" w:ascii="宋体" w:hAnsi="宋体" w:eastAsia="宋体" w:cs="宋体"/>
                <w:color w:val="000000"/>
                <w:sz w:val="21"/>
                <w:szCs w:val="21"/>
              </w:rPr>
              <w:t>数字艺术创作职业技能等级证书</w:t>
            </w:r>
          </w:p>
        </w:tc>
        <w:tc>
          <w:tcPr>
            <w:tcW w:w="1935" w:type="dxa"/>
            <w:tcBorders>
              <w:tl2br w:val="nil"/>
              <w:tr2bl w:val="nil"/>
            </w:tcBorders>
            <w:vAlign w:val="center"/>
          </w:tcPr>
          <w:p>
            <w:pPr>
              <w:tabs>
                <w:tab w:val="left" w:pos="180"/>
                <w:tab w:val="left" w:pos="1080"/>
                <w:tab w:val="left" w:pos="1980"/>
              </w:tabs>
              <w:jc w:val="center"/>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教育部1+x证书</w:t>
            </w:r>
          </w:p>
        </w:tc>
        <w:tc>
          <w:tcPr>
            <w:tcW w:w="1395" w:type="dxa"/>
            <w:tcBorders>
              <w:tl2br w:val="nil"/>
              <w:tr2bl w:val="nil"/>
            </w:tcBorders>
            <w:vAlign w:val="center"/>
          </w:tcPr>
          <w:p>
            <w:pPr>
              <w:tabs>
                <w:tab w:val="left" w:pos="180"/>
                <w:tab w:val="left" w:pos="1080"/>
                <w:tab w:val="left" w:pos="1980"/>
              </w:tabs>
              <w:jc w:val="center"/>
              <w:rPr>
                <w:rFonts w:hint="eastAsia" w:ascii="宋体" w:hAnsi="宋体" w:eastAsia="宋体" w:cs="宋体"/>
                <w:sz w:val="21"/>
                <w:szCs w:val="21"/>
              </w:rPr>
            </w:pPr>
            <w:r>
              <w:rPr>
                <w:rFonts w:hint="eastAsia" w:ascii="宋体" w:hAnsi="宋体" w:eastAsia="宋体" w:cs="宋体"/>
                <w:sz w:val="21"/>
                <w:szCs w:val="21"/>
              </w:rPr>
              <w:t>合格</w:t>
            </w:r>
          </w:p>
        </w:tc>
        <w:tc>
          <w:tcPr>
            <w:tcW w:w="1794" w:type="dxa"/>
            <w:vMerge w:val="continue"/>
            <w:tcBorders>
              <w:tl2br w:val="nil"/>
              <w:tr2bl w:val="nil"/>
            </w:tcBorders>
            <w:vAlign w:val="center"/>
          </w:tcPr>
          <w:p>
            <w:pPr>
              <w:spacing w:line="360" w:lineRule="auto"/>
              <w:jc w:val="center"/>
              <w:rPr>
                <w:rFonts w:cs="宋体"/>
                <w:szCs w:val="21"/>
              </w:rPr>
            </w:pPr>
          </w:p>
        </w:tc>
      </w:tr>
    </w:tbl>
    <w:p>
      <w:pPr>
        <w:spacing w:line="360" w:lineRule="auto"/>
        <w:ind w:firstLine="420" w:firstLineChars="200"/>
        <w:rPr>
          <w:rFonts w:ascii="宋体" w:hAnsi="宋体" w:cs="宋体"/>
          <w:szCs w:val="21"/>
        </w:rPr>
      </w:pPr>
    </w:p>
    <w:p>
      <w:pPr>
        <w:spacing w:line="300" w:lineRule="auto"/>
        <w:ind w:firstLine="422" w:firstLineChars="200"/>
        <w:rPr>
          <w:rFonts w:cs="宋体"/>
          <w:b/>
          <w:szCs w:val="21"/>
        </w:rPr>
      </w:pPr>
      <w:r>
        <w:rPr>
          <w:rFonts w:hint="eastAsia" w:cs="宋体"/>
          <w:b/>
          <w:szCs w:val="21"/>
        </w:rPr>
        <w:t>（三）继续学习专业</w:t>
      </w:r>
    </w:p>
    <w:p>
      <w:pPr>
        <w:spacing w:line="300" w:lineRule="auto"/>
        <w:ind w:firstLine="420" w:firstLineChars="200"/>
        <w:rPr>
          <w:rFonts w:cs="宋体"/>
          <w:szCs w:val="21"/>
        </w:rPr>
      </w:pPr>
      <w:r>
        <w:rPr>
          <w:rFonts w:hint="eastAsia" w:cs="宋体"/>
          <w:szCs w:val="21"/>
        </w:rPr>
        <w:t>本专业毕业生可以通过自学考试、专升本、网络教育、成人教育等形式，完成文化创意与策划类、艺术设计类专业学士学位的学习与深造。</w:t>
      </w:r>
    </w:p>
    <w:p>
      <w:pPr>
        <w:spacing w:line="360" w:lineRule="auto"/>
        <w:ind w:firstLine="465"/>
        <w:rPr>
          <w:rFonts w:ascii="仿宋_GB2312" w:eastAsia="仿宋_GB2312"/>
          <w:sz w:val="24"/>
        </w:rPr>
      </w:pPr>
    </w:p>
    <w:p>
      <w:pPr>
        <w:numPr>
          <w:ilvl w:val="0"/>
          <w:numId w:val="2"/>
        </w:numPr>
        <w:rPr>
          <w:rFonts w:ascii="仿宋_GB2312" w:hAnsi="仿宋" w:eastAsia="仿宋_GB2312"/>
          <w:b/>
          <w:sz w:val="28"/>
          <w:szCs w:val="28"/>
        </w:rPr>
      </w:pPr>
      <w:r>
        <w:rPr>
          <w:rFonts w:hint="eastAsia" w:ascii="仿宋_GB2312" w:hAnsi="仿宋" w:eastAsia="仿宋_GB2312"/>
          <w:b/>
          <w:sz w:val="28"/>
          <w:szCs w:val="28"/>
        </w:rPr>
        <w:t>综合素质及职业能力</w:t>
      </w:r>
    </w:p>
    <w:p>
      <w:pPr>
        <w:spacing w:line="300" w:lineRule="auto"/>
        <w:ind w:firstLine="422" w:firstLineChars="200"/>
        <w:rPr>
          <w:rFonts w:cs="宋体"/>
          <w:szCs w:val="21"/>
        </w:rPr>
      </w:pPr>
      <w:r>
        <w:rPr>
          <w:rFonts w:hint="eastAsia" w:cs="宋体"/>
          <w:b/>
          <w:szCs w:val="21"/>
        </w:rPr>
        <w:t>（一）综合素质</w:t>
      </w:r>
    </w:p>
    <w:p>
      <w:pPr>
        <w:spacing w:line="300" w:lineRule="auto"/>
        <w:ind w:firstLine="420" w:firstLineChars="200"/>
        <w:rPr>
          <w:rFonts w:cs="宋体"/>
          <w:szCs w:val="21"/>
        </w:rPr>
      </w:pPr>
      <w:r>
        <w:rPr>
          <w:rFonts w:hint="eastAsia" w:cs="宋体"/>
          <w:szCs w:val="21"/>
        </w:rPr>
        <w:t>1.思想道德素质：</w:t>
      </w:r>
    </w:p>
    <w:p>
      <w:pPr>
        <w:numPr>
          <w:ilvl w:val="255"/>
          <w:numId w:val="0"/>
        </w:numPr>
        <w:spacing w:line="300" w:lineRule="auto"/>
        <w:ind w:firstLine="420" w:firstLineChars="200"/>
        <w:rPr>
          <w:rFonts w:cs="宋体"/>
          <w:szCs w:val="21"/>
        </w:rPr>
      </w:pPr>
      <w:r>
        <w:rPr>
          <w:rFonts w:hint="eastAsia" w:cs="宋体"/>
          <w:szCs w:val="21"/>
        </w:rPr>
        <w:t>（1）具有坚定正确的政治方向，爱祖国、爱人民，具有社会主义荣辱观。</w:t>
      </w:r>
    </w:p>
    <w:p>
      <w:pPr>
        <w:numPr>
          <w:ilvl w:val="255"/>
          <w:numId w:val="0"/>
        </w:numPr>
        <w:spacing w:line="300" w:lineRule="auto"/>
        <w:ind w:firstLine="420" w:firstLineChars="200"/>
        <w:rPr>
          <w:rFonts w:cs="宋体"/>
          <w:szCs w:val="21"/>
        </w:rPr>
      </w:pPr>
      <w:r>
        <w:rPr>
          <w:rFonts w:hint="eastAsia" w:cs="宋体"/>
          <w:szCs w:val="21"/>
        </w:rPr>
        <w:t>（2）具有良好的社会公德、职业道德和诚信品质。</w:t>
      </w:r>
    </w:p>
    <w:p>
      <w:pPr>
        <w:numPr>
          <w:ilvl w:val="255"/>
          <w:numId w:val="0"/>
        </w:numPr>
        <w:spacing w:line="300" w:lineRule="auto"/>
        <w:ind w:firstLine="420" w:firstLineChars="200"/>
        <w:rPr>
          <w:rFonts w:cs="宋体"/>
          <w:szCs w:val="21"/>
        </w:rPr>
      </w:pPr>
      <w:r>
        <w:rPr>
          <w:rFonts w:hint="eastAsia" w:cs="宋体"/>
          <w:szCs w:val="21"/>
        </w:rPr>
        <w:t>（3）具有爱岗敬业、艰苦奋斗、勇于创新的团队协作精神。</w:t>
      </w:r>
    </w:p>
    <w:p>
      <w:pPr>
        <w:numPr>
          <w:ilvl w:val="255"/>
          <w:numId w:val="0"/>
        </w:numPr>
        <w:spacing w:line="300" w:lineRule="auto"/>
        <w:ind w:firstLine="420" w:firstLineChars="200"/>
        <w:rPr>
          <w:rFonts w:cs="宋体"/>
          <w:szCs w:val="21"/>
        </w:rPr>
      </w:pPr>
      <w:r>
        <w:rPr>
          <w:rFonts w:hint="eastAsia" w:cs="宋体"/>
          <w:szCs w:val="21"/>
        </w:rPr>
        <w:t>（4）具有解放思想、实事求是的科学态度。</w:t>
      </w:r>
    </w:p>
    <w:p>
      <w:pPr>
        <w:numPr>
          <w:ilvl w:val="255"/>
          <w:numId w:val="0"/>
        </w:numPr>
        <w:spacing w:line="300" w:lineRule="auto"/>
        <w:ind w:firstLine="420" w:firstLineChars="200"/>
        <w:rPr>
          <w:rFonts w:cs="宋体"/>
          <w:szCs w:val="21"/>
        </w:rPr>
      </w:pPr>
      <w:r>
        <w:rPr>
          <w:rFonts w:hint="eastAsia" w:cs="宋体"/>
          <w:szCs w:val="21"/>
        </w:rPr>
        <w:t>（5）具有敢于拼搏、建功立业的创新精神和实干精神。</w:t>
      </w:r>
    </w:p>
    <w:p>
      <w:pPr>
        <w:numPr>
          <w:ilvl w:val="255"/>
          <w:numId w:val="0"/>
        </w:numPr>
        <w:spacing w:line="300" w:lineRule="auto"/>
        <w:ind w:firstLine="420" w:firstLineChars="200"/>
        <w:rPr>
          <w:rFonts w:cs="宋体"/>
          <w:szCs w:val="21"/>
        </w:rPr>
      </w:pPr>
      <w:r>
        <w:rPr>
          <w:rFonts w:hint="eastAsia" w:cs="宋体"/>
          <w:szCs w:val="21"/>
        </w:rPr>
        <w:t>（6）具有较强的遵纪守法意识。</w:t>
      </w:r>
    </w:p>
    <w:p>
      <w:pPr>
        <w:spacing w:line="300" w:lineRule="auto"/>
        <w:ind w:firstLine="420" w:firstLineChars="200"/>
        <w:rPr>
          <w:rFonts w:cs="宋体"/>
          <w:szCs w:val="21"/>
        </w:rPr>
      </w:pPr>
      <w:r>
        <w:rPr>
          <w:rFonts w:hint="eastAsia" w:cs="宋体"/>
          <w:szCs w:val="21"/>
        </w:rPr>
        <w:t>2.科学文化素质：</w:t>
      </w:r>
    </w:p>
    <w:p>
      <w:pPr>
        <w:numPr>
          <w:ilvl w:val="255"/>
          <w:numId w:val="0"/>
        </w:numPr>
        <w:spacing w:line="300" w:lineRule="auto"/>
        <w:ind w:firstLine="420" w:firstLineChars="200"/>
        <w:rPr>
          <w:rFonts w:cs="宋体"/>
          <w:szCs w:val="21"/>
        </w:rPr>
      </w:pPr>
      <w:r>
        <w:rPr>
          <w:rFonts w:hint="eastAsia" w:cs="宋体"/>
          <w:szCs w:val="21"/>
        </w:rPr>
        <w:t>系统掌握文化创意策划的基本理论和基本知识，了解国内外文创产业发展的动向，具有较强的艺术修养和综合素质；基本掌握一门外国语。</w:t>
      </w:r>
    </w:p>
    <w:p>
      <w:pPr>
        <w:spacing w:line="300" w:lineRule="auto"/>
        <w:ind w:firstLine="420" w:firstLineChars="200"/>
        <w:rPr>
          <w:rFonts w:cs="宋体"/>
          <w:szCs w:val="21"/>
        </w:rPr>
      </w:pPr>
      <w:r>
        <w:rPr>
          <w:rFonts w:hint="eastAsia" w:cs="宋体"/>
          <w:szCs w:val="21"/>
        </w:rPr>
        <w:t>3.专业素质：</w:t>
      </w:r>
    </w:p>
    <w:p>
      <w:pPr>
        <w:numPr>
          <w:ilvl w:val="255"/>
          <w:numId w:val="0"/>
        </w:numPr>
        <w:spacing w:line="300" w:lineRule="auto"/>
        <w:ind w:firstLine="420" w:firstLineChars="200"/>
        <w:rPr>
          <w:rFonts w:cs="宋体"/>
          <w:szCs w:val="21"/>
        </w:rPr>
      </w:pPr>
      <w:r>
        <w:rPr>
          <w:rFonts w:hint="eastAsia" w:cs="宋体"/>
          <w:szCs w:val="21"/>
        </w:rPr>
        <w:t>掌握创意思维方式，能运用现代设计手段，熟练使用计算机进行文创产品设计与制作，能独立完成设计方案。通过创意、设计和营销策划各类技能的基本训练，具备文创设计、制作、生产技术管理、品牌策划、营销等综合竞争力。</w:t>
      </w:r>
    </w:p>
    <w:p>
      <w:pPr>
        <w:spacing w:line="300" w:lineRule="auto"/>
        <w:ind w:firstLine="420" w:firstLineChars="200"/>
        <w:rPr>
          <w:rFonts w:cs="宋体"/>
          <w:szCs w:val="21"/>
        </w:rPr>
      </w:pPr>
      <w:r>
        <w:rPr>
          <w:rFonts w:hint="eastAsia" w:cs="宋体"/>
          <w:szCs w:val="21"/>
        </w:rPr>
        <w:t>4.身心素质：</w:t>
      </w:r>
    </w:p>
    <w:p>
      <w:pPr>
        <w:spacing w:line="300" w:lineRule="auto"/>
        <w:ind w:firstLine="420" w:firstLineChars="200"/>
        <w:rPr>
          <w:rFonts w:cs="宋体"/>
          <w:szCs w:val="21"/>
        </w:rPr>
      </w:pPr>
      <w:r>
        <w:rPr>
          <w:rFonts w:hint="eastAsia" w:cs="宋体"/>
          <w:szCs w:val="21"/>
        </w:rPr>
        <w:t>具有健康的身体素质和心理素质；了解体育运动的基本知识，掌握科学锻炼身体的基本技能，养成自觉锻炼身体的良好习惯，达到《大学生健康体质标准》，具有健康体魄。</w:t>
      </w:r>
    </w:p>
    <w:p>
      <w:pPr>
        <w:spacing w:line="300" w:lineRule="auto"/>
        <w:ind w:firstLine="422" w:firstLineChars="200"/>
        <w:rPr>
          <w:rFonts w:cs="宋体"/>
          <w:b/>
          <w:szCs w:val="21"/>
        </w:rPr>
      </w:pPr>
      <w:r>
        <w:rPr>
          <w:rFonts w:hint="eastAsia" w:cs="宋体"/>
          <w:b/>
          <w:szCs w:val="21"/>
        </w:rPr>
        <w:t>（二）职业能力</w:t>
      </w:r>
    </w:p>
    <w:p>
      <w:pPr>
        <w:spacing w:line="300" w:lineRule="auto"/>
        <w:ind w:firstLine="420" w:firstLineChars="200"/>
        <w:rPr>
          <w:rFonts w:cs="宋体"/>
          <w:szCs w:val="21"/>
        </w:rPr>
      </w:pPr>
      <w:r>
        <w:rPr>
          <w:rFonts w:hint="eastAsia" w:cs="宋体"/>
          <w:szCs w:val="21"/>
        </w:rPr>
        <w:t>1.具有敏锐的文化发展感知能力，对大众审美标准的认知能力及对文化市场走向的把握能力；</w:t>
      </w:r>
    </w:p>
    <w:p>
      <w:pPr>
        <w:spacing w:line="300" w:lineRule="auto"/>
        <w:ind w:firstLine="420" w:firstLineChars="200"/>
        <w:rPr>
          <w:rFonts w:cs="宋体"/>
          <w:szCs w:val="21"/>
        </w:rPr>
      </w:pPr>
      <w:r>
        <w:rPr>
          <w:rFonts w:hint="eastAsia" w:cs="宋体"/>
          <w:szCs w:val="21"/>
        </w:rPr>
        <w:t>2.具有良好的创意思维和创新能力；</w:t>
      </w:r>
    </w:p>
    <w:p>
      <w:pPr>
        <w:spacing w:line="300" w:lineRule="auto"/>
        <w:ind w:firstLine="420" w:firstLineChars="200"/>
        <w:rPr>
          <w:rFonts w:cs="宋体"/>
          <w:szCs w:val="21"/>
        </w:rPr>
      </w:pPr>
      <w:r>
        <w:rPr>
          <w:rFonts w:hint="eastAsia" w:cs="宋体"/>
          <w:szCs w:val="21"/>
        </w:rPr>
        <w:t>3.热爱中国传统文化，通过创新能将之融入到现代生活的能力；</w:t>
      </w:r>
    </w:p>
    <w:p>
      <w:pPr>
        <w:spacing w:line="300" w:lineRule="auto"/>
        <w:ind w:firstLine="420" w:firstLineChars="200"/>
        <w:rPr>
          <w:rFonts w:cs="宋体"/>
          <w:szCs w:val="21"/>
        </w:rPr>
      </w:pPr>
      <w:r>
        <w:rPr>
          <w:rFonts w:hint="eastAsia" w:cs="宋体"/>
          <w:szCs w:val="21"/>
        </w:rPr>
        <w:t>4.具有丰富的中外文化艺术功底，掌握文创设计的基本原理和正确方法，具有依据社会需求和行业状况，提炼并运用传统文化元素进行创意设计与开发、文案写作、策划的能力；</w:t>
      </w:r>
    </w:p>
    <w:p>
      <w:pPr>
        <w:spacing w:line="300" w:lineRule="auto"/>
        <w:ind w:firstLine="420" w:firstLineChars="200"/>
        <w:rPr>
          <w:rFonts w:cs="宋体"/>
          <w:szCs w:val="21"/>
        </w:rPr>
      </w:pPr>
      <w:r>
        <w:rPr>
          <w:rFonts w:hint="eastAsia" w:cs="宋体"/>
          <w:szCs w:val="21"/>
        </w:rPr>
        <w:t>5.具有良好的市场洞察力，运用新媒体搭建传播平台，进行推广的能力。</w:t>
      </w:r>
    </w:p>
    <w:p>
      <w:pPr>
        <w:spacing w:line="300" w:lineRule="auto"/>
        <w:ind w:firstLine="420" w:firstLineChars="200"/>
        <w:rPr>
          <w:rFonts w:cs="宋体"/>
          <w:szCs w:val="21"/>
        </w:rPr>
      </w:pPr>
      <w:r>
        <w:rPr>
          <w:rFonts w:hint="eastAsia" w:cs="宋体"/>
          <w:szCs w:val="21"/>
        </w:rPr>
        <w:t>6.掌握相应的行业规范、标准和业务管理的基本知识和相应的组织管理能力；</w:t>
      </w:r>
    </w:p>
    <w:p>
      <w:pPr>
        <w:spacing w:line="300" w:lineRule="auto"/>
        <w:ind w:firstLine="420" w:firstLineChars="200"/>
        <w:rPr>
          <w:rFonts w:cs="宋体"/>
          <w:szCs w:val="21"/>
        </w:rPr>
      </w:pPr>
      <w:r>
        <w:rPr>
          <w:rFonts w:hint="eastAsia" w:cs="宋体"/>
          <w:szCs w:val="21"/>
        </w:rPr>
        <w:t>7.具备计算机基础知识和计算机辅助设计实操能力，能熟练操作并初步具有在本专业及相关领域中的计算机应用能力；</w:t>
      </w:r>
    </w:p>
    <w:p>
      <w:pPr>
        <w:spacing w:line="300" w:lineRule="auto"/>
        <w:ind w:firstLine="420" w:firstLineChars="200"/>
        <w:rPr>
          <w:rFonts w:cs="宋体"/>
          <w:szCs w:val="21"/>
        </w:rPr>
      </w:pPr>
      <w:r>
        <w:rPr>
          <w:rFonts w:hint="eastAsia" w:cs="宋体"/>
          <w:szCs w:val="21"/>
        </w:rPr>
        <w:t>8.具有较高的艺术修养和思想道德素质，文化素质以及心理素质。</w:t>
      </w:r>
    </w:p>
    <w:p>
      <w:pPr>
        <w:rPr>
          <w:rFonts w:ascii="宋体" w:hAnsi="宋体" w:cs="宋体"/>
          <w:b/>
          <w:szCs w:val="21"/>
        </w:rPr>
      </w:pPr>
    </w:p>
    <w:p>
      <w:pPr>
        <w:rPr>
          <w:rFonts w:ascii="仿宋" w:hAnsi="仿宋" w:eastAsia="仿宋"/>
          <w:szCs w:val="21"/>
        </w:rPr>
      </w:pPr>
      <w:r>
        <w:rPr>
          <w:rFonts w:hint="eastAsia" w:ascii="仿宋_GB2312" w:hAnsi="仿宋" w:eastAsia="仿宋_GB2312"/>
          <w:b/>
          <w:sz w:val="28"/>
          <w:szCs w:val="28"/>
        </w:rPr>
        <w:t>七、专业主要课程及内容要求</w:t>
      </w:r>
    </w:p>
    <w:p>
      <w:pPr>
        <w:spacing w:line="300" w:lineRule="auto"/>
        <w:ind w:firstLine="420" w:firstLineChars="200"/>
        <w:rPr>
          <w:rFonts w:cs="宋体"/>
          <w:szCs w:val="21"/>
        </w:rPr>
      </w:pPr>
      <w:r>
        <w:rPr>
          <w:rFonts w:hint="eastAsia" w:cs="宋体"/>
          <w:szCs w:val="21"/>
        </w:rPr>
        <w:t>专业主要课程的教学内容、要求、教学实施建议以及考核方式。</w:t>
      </w:r>
    </w:p>
    <w:p>
      <w:pPr>
        <w:spacing w:line="300" w:lineRule="auto"/>
        <w:ind w:firstLine="420" w:firstLineChars="200"/>
        <w:rPr>
          <w:rFonts w:cs="宋体"/>
          <w:szCs w:val="21"/>
        </w:rPr>
      </w:pPr>
      <w:r>
        <w:rPr>
          <w:rFonts w:hint="eastAsia" w:cs="宋体"/>
          <w:szCs w:val="21"/>
        </w:rPr>
        <w:t>（一）会展策划（128学时）</w:t>
      </w:r>
    </w:p>
    <w:p>
      <w:pPr>
        <w:numPr>
          <w:ilvl w:val="255"/>
          <w:numId w:val="0"/>
        </w:numPr>
        <w:spacing w:line="300" w:lineRule="auto"/>
        <w:ind w:firstLine="420" w:firstLineChars="200"/>
        <w:rPr>
          <w:rFonts w:cs="宋体"/>
          <w:szCs w:val="21"/>
        </w:rPr>
      </w:pPr>
      <w:r>
        <w:rPr>
          <w:rFonts w:hint="eastAsia" w:cs="宋体"/>
          <w:szCs w:val="21"/>
        </w:rPr>
        <w:t>1.主要教学内容及要求：本课程讲授会展策划概述、会展的调查与分析、会展目标与选题立项策划、会议活动策划、会展设计与品牌策划、会展宣传与广告策略、会展项目管理策略、会展相关活动策划等内容，着重训练学生的会展策划技能，对学生会展职业能力的培养和职业素养起重要的支撑作用。该课程既强调对会展策划基本理论的掌握，更强调对会展策划技能的实际运用，具有综合性和实践性强的特点。</w:t>
      </w:r>
    </w:p>
    <w:p>
      <w:pPr>
        <w:spacing w:line="300" w:lineRule="auto"/>
        <w:ind w:firstLine="420" w:firstLineChars="200"/>
        <w:rPr>
          <w:rFonts w:cs="宋体"/>
          <w:szCs w:val="21"/>
        </w:rPr>
      </w:pPr>
      <w:r>
        <w:rPr>
          <w:rFonts w:hint="eastAsia" w:cs="宋体"/>
          <w:szCs w:val="21"/>
        </w:rPr>
        <w:t>2.教学实施建议：会展策划中许多会议与展馆的设计原则、方法、程序与技巧都大量运用设计学原理知识，在教学过程中，建议将设计学知识有机地运用到会展策划中。</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（1）考核方式:课程的考核性质为考查，由平时成绩和期末考试成绩两部分组成，平时成绩（包括考勤、作业、课堂讨论发言的积极性等方面）占30％，期末考试成绩占70％，评分方式为百分制。</w:t>
      </w:r>
    </w:p>
    <w:p>
      <w:pPr>
        <w:numPr>
          <w:ilvl w:val="0"/>
          <w:numId w:val="3"/>
        </w:numPr>
        <w:spacing w:line="300" w:lineRule="auto"/>
        <w:ind w:firstLine="420" w:firstLineChars="200"/>
        <w:rPr>
          <w:rFonts w:ascii="宋体" w:hAnsi="宋体" w:cs="宋体"/>
          <w:szCs w:val="21"/>
        </w:rPr>
      </w:pPr>
      <w:r>
        <w:rPr>
          <w:rFonts w:hint="eastAsia" w:cs="宋体"/>
          <w:szCs w:val="21"/>
        </w:rPr>
        <w:t>考核内容：期末考试可利用一学期学生进行的多次讨论结果中的某一次，要求他们每人做出一份正规的策划案，该策划案的可行性和可利用价值能衡量学生的策划综合能力，再加上卷面理论知识的考试，将使学生的理论知识和动手动脑能力得到全面的考查。</w:t>
      </w:r>
    </w:p>
    <w:p>
      <w:pPr>
        <w:numPr>
          <w:ilvl w:val="255"/>
          <w:numId w:val="0"/>
        </w:numPr>
        <w:spacing w:line="300" w:lineRule="auto"/>
        <w:rPr>
          <w:rFonts w:ascii="宋体" w:hAnsi="宋体" w:cs="宋体"/>
          <w:szCs w:val="21"/>
        </w:rPr>
      </w:pPr>
    </w:p>
    <w:p>
      <w:pPr>
        <w:spacing w:line="300" w:lineRule="auto"/>
        <w:ind w:firstLine="420" w:firstLineChars="200"/>
        <w:rPr>
          <w:rFonts w:cs="宋体"/>
          <w:szCs w:val="21"/>
        </w:rPr>
      </w:pPr>
      <w:r>
        <w:rPr>
          <w:rFonts w:hint="eastAsia" w:cs="宋体"/>
          <w:szCs w:val="21"/>
        </w:rPr>
        <w:t>（二）常州非遗文化（64学时）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1）主要教学内容：课程教学内容包括理论与实践两大部分，其中理论知识包括非物质文化遗产的基础理论、常州非物质文化遗产项目理论研究两部分内容，实践部分以常州三宝为核心项目，在非遗大师的指导下，开展技法训练和调研活动。</w:t>
      </w:r>
    </w:p>
    <w:p>
      <w:pPr>
        <w:spacing w:line="300" w:lineRule="auto"/>
        <w:ind w:firstLine="420" w:firstLineChars="200"/>
        <w:rPr>
          <w:rFonts w:cs="宋体"/>
          <w:szCs w:val="21"/>
        </w:rPr>
      </w:pPr>
      <w:r>
        <w:rPr>
          <w:rFonts w:hint="eastAsia" w:cs="宋体"/>
          <w:szCs w:val="21"/>
        </w:rPr>
        <w:t>（2）教学要求：本课程的核心在于帮助学生掌握正确的社会科学研究方法，增进对常州非物质文化遗产的了解，增进对中华民族传统文化的了解和热爱，提高学生的传统文化修养，激发学生尊重传统文化、传承中华文明的文化精髓应用到设计中，从而实现我校文化创意与策划专业的人才培养目标。</w:t>
      </w:r>
    </w:p>
    <w:p>
      <w:pPr>
        <w:spacing w:line="300" w:lineRule="auto"/>
        <w:ind w:firstLine="420" w:firstLineChars="200"/>
        <w:rPr>
          <w:rFonts w:cs="宋体"/>
          <w:szCs w:val="21"/>
        </w:rPr>
      </w:pPr>
      <w:r>
        <w:rPr>
          <w:rFonts w:hint="eastAsia" w:cs="宋体"/>
          <w:szCs w:val="21"/>
        </w:rPr>
        <w:t>2.教学实施建议：</w:t>
      </w:r>
    </w:p>
    <w:p>
      <w:pPr>
        <w:spacing w:line="300" w:lineRule="auto"/>
        <w:ind w:firstLine="420" w:firstLineChars="200"/>
        <w:rPr>
          <w:rFonts w:cs="宋体"/>
          <w:szCs w:val="21"/>
        </w:rPr>
      </w:pPr>
      <w:r>
        <w:rPr>
          <w:rFonts w:hint="eastAsia" w:cs="宋体"/>
          <w:szCs w:val="21"/>
        </w:rPr>
        <w:t>（1）建立非遗活动室。可以将学生课堂使用的材料、非遗作品和学生的作品在非遗活动室进行展示，平时在非遗活动室进行课堂授课。</w:t>
      </w:r>
    </w:p>
    <w:p>
      <w:pPr>
        <w:spacing w:line="300" w:lineRule="auto"/>
        <w:ind w:firstLine="420" w:firstLineChars="200"/>
        <w:rPr>
          <w:rFonts w:cs="宋体"/>
          <w:szCs w:val="21"/>
        </w:rPr>
      </w:pPr>
      <w:r>
        <w:rPr>
          <w:rFonts w:hint="eastAsia" w:cs="宋体"/>
          <w:szCs w:val="21"/>
        </w:rPr>
        <w:t xml:space="preserve">（2）以项目为重心组建研究小组。教师授课，学生手工制作为主，辅以非物质文化遗产大师进课堂等活动。 </w:t>
      </w:r>
    </w:p>
    <w:p>
      <w:pPr>
        <w:numPr>
          <w:ilvl w:val="255"/>
          <w:numId w:val="0"/>
        </w:numPr>
        <w:spacing w:line="300" w:lineRule="auto"/>
        <w:ind w:firstLine="420" w:firstLineChars="200"/>
        <w:rPr>
          <w:rFonts w:cs="宋体"/>
          <w:szCs w:val="21"/>
        </w:rPr>
      </w:pPr>
      <w:r>
        <w:rPr>
          <w:rFonts w:hint="eastAsia" w:cs="宋体"/>
          <w:szCs w:val="21"/>
        </w:rPr>
        <w:t>3.考核方法：</w:t>
      </w:r>
    </w:p>
    <w:p>
      <w:pPr>
        <w:numPr>
          <w:ilvl w:val="255"/>
          <w:numId w:val="0"/>
        </w:numPr>
        <w:spacing w:line="300" w:lineRule="auto"/>
        <w:ind w:firstLine="420" w:firstLineChars="200"/>
        <w:rPr>
          <w:rFonts w:cs="宋体"/>
          <w:szCs w:val="21"/>
        </w:rPr>
      </w:pPr>
      <w:r>
        <w:rPr>
          <w:rFonts w:hint="eastAsia" w:cs="宋体"/>
          <w:szCs w:val="21"/>
        </w:rPr>
        <w:t>（1）考核方式：课程的考核性质为考查，由平时成绩和期末考试成绩两部分组成，平时成绩（包括考勤、作业、课堂讨论发言的积极性等方面）占30％，期末考试成绩占70％，评分方式为百分制。</w:t>
      </w:r>
    </w:p>
    <w:p>
      <w:pPr>
        <w:spacing w:line="300" w:lineRule="auto"/>
        <w:ind w:firstLine="420" w:firstLineChars="200"/>
        <w:rPr>
          <w:rFonts w:ascii="宋体" w:hAnsi="宋体" w:cs="宋体"/>
          <w:szCs w:val="21"/>
        </w:rPr>
      </w:pPr>
      <w:r>
        <w:rPr>
          <w:rFonts w:hint="eastAsia" w:cs="宋体"/>
          <w:szCs w:val="21"/>
        </w:rPr>
        <w:t>（2）考核形式：调查报告、小论文、建议书、展板、产品制作及设计等。</w:t>
      </w:r>
    </w:p>
    <w:p>
      <w:pPr>
        <w:ind w:firstLine="420" w:firstLineChars="200"/>
        <w:rPr>
          <w:rFonts w:ascii="宋体" w:hAnsi="宋体" w:cs="宋体"/>
          <w:szCs w:val="21"/>
        </w:rPr>
      </w:pPr>
    </w:p>
    <w:p>
      <w:pPr>
        <w:spacing w:line="300" w:lineRule="auto"/>
        <w:ind w:firstLine="420" w:firstLineChars="200"/>
        <w:rPr>
          <w:rFonts w:cs="宋体"/>
          <w:szCs w:val="21"/>
        </w:rPr>
      </w:pPr>
      <w:r>
        <w:rPr>
          <w:rFonts w:hint="eastAsia" w:cs="宋体"/>
          <w:szCs w:val="21"/>
        </w:rPr>
        <w:t>（三）素描（256学时）</w:t>
      </w:r>
    </w:p>
    <w:p>
      <w:pPr>
        <w:spacing w:line="300" w:lineRule="auto"/>
        <w:ind w:firstLine="420" w:firstLineChars="200"/>
        <w:rPr>
          <w:rFonts w:cs="宋体"/>
          <w:szCs w:val="21"/>
        </w:rPr>
      </w:pPr>
      <w:r>
        <w:rPr>
          <w:rFonts w:hint="eastAsia" w:cs="宋体"/>
          <w:szCs w:val="21"/>
        </w:rPr>
        <w:t>1.主要教学内容及要求：本课程通过素描基本理论及写生技法的讲授，培养正确的观察方法和对事物形态的敏锐感受力及分析能力，能理解和表现对象的结构、色彩、气氛及立体、空间形态。</w:t>
      </w:r>
    </w:p>
    <w:p>
      <w:pPr>
        <w:spacing w:line="300" w:lineRule="auto"/>
        <w:ind w:firstLine="420" w:firstLineChars="200"/>
        <w:rPr>
          <w:rFonts w:cs="宋体"/>
          <w:szCs w:val="21"/>
        </w:rPr>
      </w:pPr>
      <w:r>
        <w:rPr>
          <w:rFonts w:hint="eastAsia" w:cs="宋体"/>
          <w:szCs w:val="21"/>
        </w:rPr>
        <w:t xml:space="preserve">2.教学实施建议：在本课程的教学过程中，应组织大量的、实务性较强的课程实训。 </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（1）考核方式：知识点的掌握80%，学习表现评定10%，职业素养评定10%</w:t>
      </w:r>
    </w:p>
    <w:p>
      <w:pPr>
        <w:spacing w:line="300" w:lineRule="auto"/>
        <w:ind w:firstLine="420" w:firstLineChars="200"/>
        <w:rPr>
          <w:rFonts w:cs="宋体"/>
          <w:szCs w:val="21"/>
        </w:rPr>
      </w:pPr>
      <w:r>
        <w:rPr>
          <w:rFonts w:hint="eastAsia" w:cs="宋体"/>
          <w:szCs w:val="21"/>
        </w:rPr>
        <w:t>知识点所占分值：</w:t>
      </w:r>
    </w:p>
    <w:p>
      <w:pPr>
        <w:spacing w:line="300" w:lineRule="auto"/>
        <w:ind w:firstLine="420" w:firstLineChars="200"/>
        <w:rPr>
          <w:rFonts w:cs="宋体"/>
          <w:szCs w:val="21"/>
        </w:rPr>
      </w:pPr>
      <w:r>
        <w:rPr>
          <w:rFonts w:hint="eastAsia" w:cs="宋体"/>
          <w:szCs w:val="21"/>
        </w:rPr>
        <w:t>考察学生在对不同结构的探究分析中的观察、分析能力以及表现能力占20%；</w:t>
      </w:r>
    </w:p>
    <w:p>
      <w:pPr>
        <w:spacing w:line="300" w:lineRule="auto"/>
        <w:ind w:firstLine="420" w:firstLineChars="200"/>
        <w:rPr>
          <w:rFonts w:cs="宋体"/>
          <w:szCs w:val="21"/>
        </w:rPr>
      </w:pPr>
      <w:r>
        <w:rPr>
          <w:rFonts w:hint="eastAsia" w:cs="宋体"/>
          <w:szCs w:val="21"/>
        </w:rPr>
        <w:t>考察学生对明暗光色与物体固有色以及画面整体构图的关系的把握能力占20%；</w:t>
      </w:r>
    </w:p>
    <w:p>
      <w:pPr>
        <w:spacing w:line="300" w:lineRule="auto"/>
        <w:ind w:firstLine="420" w:firstLineChars="200"/>
        <w:rPr>
          <w:rFonts w:cs="宋体"/>
          <w:szCs w:val="21"/>
        </w:rPr>
      </w:pPr>
      <w:r>
        <w:rPr>
          <w:rFonts w:hint="eastAsia" w:cs="宋体"/>
          <w:szCs w:val="21"/>
        </w:rPr>
        <w:t>考察学生对造型透视变化的掌握能力占20%；</w:t>
      </w:r>
    </w:p>
    <w:p>
      <w:pPr>
        <w:spacing w:line="300" w:lineRule="auto"/>
        <w:ind w:firstLine="420" w:firstLineChars="200"/>
        <w:rPr>
          <w:rFonts w:cs="宋体"/>
          <w:szCs w:val="21"/>
        </w:rPr>
      </w:pPr>
      <w:r>
        <w:rPr>
          <w:rFonts w:hint="eastAsia" w:cs="宋体"/>
          <w:szCs w:val="21"/>
        </w:rPr>
        <w:t>考察学生表现物体的结构特征、质感特征的能力占20%。</w:t>
      </w:r>
    </w:p>
    <w:p>
      <w:pPr>
        <w:spacing w:line="300" w:lineRule="auto"/>
        <w:ind w:firstLine="420" w:firstLineChars="200"/>
        <w:rPr>
          <w:rFonts w:cs="宋体"/>
          <w:szCs w:val="21"/>
        </w:rPr>
      </w:pPr>
      <w:r>
        <w:rPr>
          <w:rFonts w:hint="eastAsia" w:cs="宋体"/>
          <w:szCs w:val="21"/>
        </w:rPr>
        <w:t>（2）考核内容：按照各阶段分课题实践课作业与期末大作业内容设定。</w:t>
      </w:r>
    </w:p>
    <w:p>
      <w:pPr>
        <w:spacing w:line="300" w:lineRule="auto"/>
        <w:ind w:firstLine="420" w:firstLineChars="200"/>
        <w:rPr>
          <w:rFonts w:ascii="宋体" w:hAnsi="宋体" w:cs="宋体"/>
          <w:szCs w:val="21"/>
        </w:rPr>
      </w:pPr>
      <w:r>
        <w:rPr>
          <w:rFonts w:hint="eastAsia" w:cs="宋体"/>
          <w:szCs w:val="21"/>
        </w:rPr>
        <w:t>（3）实施办法：课程考核由形成性考核60%+期末大作业40%两个部分组成。</w:t>
      </w:r>
    </w:p>
    <w:p>
      <w:pPr>
        <w:spacing w:line="300" w:lineRule="auto"/>
        <w:ind w:left="420" w:leftChars="200"/>
        <w:rPr>
          <w:rFonts w:ascii="宋体" w:hAnsi="宋体" w:cs="宋体"/>
          <w:szCs w:val="21"/>
        </w:rPr>
      </w:pPr>
    </w:p>
    <w:p>
      <w:pPr>
        <w:spacing w:line="300" w:lineRule="auto"/>
        <w:ind w:firstLine="420" w:firstLineChars="200"/>
        <w:rPr>
          <w:rFonts w:cs="宋体"/>
          <w:szCs w:val="21"/>
        </w:rPr>
      </w:pPr>
      <w:r>
        <w:rPr>
          <w:rFonts w:hint="eastAsia" w:cs="宋体"/>
          <w:szCs w:val="21"/>
        </w:rPr>
        <w:t>（四）色彩（256学时）</w:t>
      </w:r>
    </w:p>
    <w:p>
      <w:pPr>
        <w:spacing w:line="300" w:lineRule="auto"/>
        <w:ind w:firstLine="420" w:firstLineChars="200"/>
        <w:rPr>
          <w:rFonts w:cs="宋体"/>
          <w:szCs w:val="21"/>
        </w:rPr>
      </w:pPr>
      <w:r>
        <w:rPr>
          <w:rFonts w:hint="eastAsia" w:cs="宋体"/>
          <w:szCs w:val="21"/>
        </w:rPr>
        <w:t>1.主要教学内容及要求：本课程主要讲授色彩绘画的基本理论，掌握水粉、水彩、静物、风景、人物的各种表现技法，能运用色彩变化的规律较准确地表现客观对象，为以后的电脑色彩设计运用打基础。</w:t>
      </w:r>
    </w:p>
    <w:p>
      <w:pPr>
        <w:spacing w:line="300" w:lineRule="auto"/>
        <w:ind w:firstLine="420" w:firstLineChars="200"/>
        <w:rPr>
          <w:rFonts w:cs="宋体"/>
          <w:szCs w:val="21"/>
        </w:rPr>
      </w:pPr>
      <w:r>
        <w:rPr>
          <w:rFonts w:hint="eastAsia" w:cs="宋体"/>
          <w:szCs w:val="21"/>
        </w:rPr>
        <w:t xml:space="preserve">2.教学实施建议：在本课程的教学过程中，应组织大量的、实务性较强的课程实训。 </w:t>
      </w:r>
    </w:p>
    <w:p>
      <w:pPr>
        <w:spacing w:line="300" w:lineRule="auto"/>
        <w:ind w:firstLine="420" w:firstLineChars="200"/>
        <w:rPr>
          <w:rFonts w:cs="宋体"/>
          <w:szCs w:val="21"/>
        </w:rPr>
      </w:pPr>
      <w:r>
        <w:rPr>
          <w:rFonts w:hint="eastAsia" w:cs="宋体"/>
          <w:szCs w:val="21"/>
        </w:rPr>
        <w:t>（1）教材选用与编写：使用国家或江苏省推荐的高职高专规划教材</w:t>
      </w:r>
    </w:p>
    <w:p>
      <w:pPr>
        <w:spacing w:line="300" w:lineRule="auto"/>
        <w:ind w:firstLine="420" w:firstLineChars="200"/>
        <w:rPr>
          <w:rFonts w:cs="宋体"/>
          <w:szCs w:val="21"/>
        </w:rPr>
      </w:pPr>
      <w:r>
        <w:rPr>
          <w:rFonts w:hint="eastAsia" w:cs="宋体"/>
          <w:szCs w:val="21"/>
        </w:rPr>
        <w:t>（2）教学方法与手段：本课程的教学采用临摹与写生相结合、理论课与辅导课相结合的方法，根据学生入学的具体水平安排教学内容和时间。</w:t>
      </w:r>
    </w:p>
    <w:p>
      <w:pPr>
        <w:spacing w:line="300" w:lineRule="auto"/>
        <w:ind w:firstLine="420" w:firstLineChars="200"/>
        <w:rPr>
          <w:rFonts w:cs="宋体"/>
          <w:szCs w:val="21"/>
        </w:rPr>
      </w:pPr>
      <w:r>
        <w:rPr>
          <w:rFonts w:hint="eastAsia" w:cs="宋体"/>
          <w:szCs w:val="21"/>
        </w:rPr>
        <w:t>（3）课程资源开发：为保证课程教学的正常开展，建议教师注重临摹资料的收集与临摹资料有关的课件开发。</w:t>
      </w:r>
    </w:p>
    <w:p>
      <w:pPr>
        <w:spacing w:line="300" w:lineRule="auto"/>
        <w:ind w:firstLine="420" w:firstLineChars="200"/>
        <w:rPr>
          <w:rFonts w:cs="宋体"/>
          <w:szCs w:val="21"/>
        </w:rPr>
      </w:pPr>
      <w:r>
        <w:rPr>
          <w:rFonts w:hint="eastAsia" w:cs="宋体"/>
          <w:szCs w:val="21"/>
        </w:rPr>
        <w:t>（4）训练安排：为设计练习中结合具体设计实践，加大学生课余训练力度，建议课余训练包括：课后作业（各种技法、不同质地的色彩静物临摹）、与本课程相关的设计网站资料浏览、课程结束前进行优秀作品展示，师生艺术座谈等。</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（1）考核方式</w:t>
      </w:r>
    </w:p>
    <w:p>
      <w:pPr>
        <w:spacing w:line="300" w:lineRule="auto"/>
        <w:ind w:firstLine="420" w:firstLineChars="200"/>
        <w:rPr>
          <w:rFonts w:cs="宋体"/>
          <w:szCs w:val="21"/>
        </w:rPr>
      </w:pPr>
      <w:r>
        <w:rPr>
          <w:rFonts w:hint="eastAsia" w:cs="宋体"/>
          <w:szCs w:val="21"/>
        </w:rPr>
        <w:t>课程的考核性质为考查，由形成性考核与期末大作业两部分构成，评分方式为百分制。</w:t>
      </w:r>
    </w:p>
    <w:p>
      <w:pPr>
        <w:spacing w:line="300" w:lineRule="auto"/>
        <w:ind w:firstLine="420" w:firstLineChars="200"/>
        <w:rPr>
          <w:rFonts w:cs="宋体"/>
          <w:szCs w:val="21"/>
        </w:rPr>
      </w:pPr>
      <w:r>
        <w:rPr>
          <w:rFonts w:hint="eastAsia" w:cs="宋体"/>
          <w:szCs w:val="21"/>
        </w:rPr>
        <w:t>（2）考核内容：按照各阶段分课题实践课作业与期末大作业内容设定。</w:t>
      </w:r>
    </w:p>
    <w:p>
      <w:pPr>
        <w:spacing w:line="300" w:lineRule="auto"/>
        <w:ind w:firstLine="420" w:firstLineChars="200"/>
        <w:rPr>
          <w:rFonts w:cs="宋体"/>
          <w:szCs w:val="21"/>
        </w:rPr>
      </w:pPr>
      <w:r>
        <w:rPr>
          <w:rFonts w:hint="eastAsia" w:cs="宋体"/>
          <w:szCs w:val="21"/>
        </w:rPr>
        <w:t>（3）实施办法：课程考核由形成性考核60%+期末大作业40%两个部分组成。</w:t>
      </w:r>
    </w:p>
    <w:p>
      <w:pPr>
        <w:spacing w:line="300" w:lineRule="auto"/>
        <w:ind w:firstLine="420" w:firstLineChars="200"/>
        <w:rPr>
          <w:rFonts w:cs="宋体"/>
          <w:szCs w:val="21"/>
        </w:rPr>
      </w:pPr>
      <w:r>
        <w:rPr>
          <w:rFonts w:hint="eastAsia" w:cs="宋体"/>
          <w:szCs w:val="21"/>
        </w:rPr>
        <w:t>（五）创意文案写作（48学时）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1）主要教学内容：本课程设置为两个学期，第一学期着重研究文案写作的基本问题，包括文案写作条件论、原则论，文案写作的过程及其分类，文案写作的语言修辞运用等。第二学期从文案写作的实际作业范畴入手，对文案写作的具体表现形式与手段进行探讨研究。主要包括：活动标题、正文、口号、媒体广告、系列活动设计、整合营销传播中的广告文案等。</w:t>
      </w:r>
    </w:p>
    <w:p>
      <w:pPr>
        <w:spacing w:line="300" w:lineRule="auto"/>
        <w:ind w:firstLine="420" w:firstLineChars="200"/>
        <w:rPr>
          <w:rFonts w:cs="宋体"/>
          <w:szCs w:val="21"/>
        </w:rPr>
      </w:pPr>
      <w:r>
        <w:rPr>
          <w:rFonts w:hint="eastAsia" w:cs="宋体"/>
          <w:szCs w:val="21"/>
        </w:rPr>
        <w:t>（2）教学要求：训练学生从宏观、微观角度全面了解、把握文化创意运行的规律与要求，通过对活动的整体把握，运用写作学、营销学、消费心理学、美学、经济学等多种学科知识，对文化创意与活动策划作全面、系统的研究。</w:t>
      </w:r>
    </w:p>
    <w:p>
      <w:pPr>
        <w:spacing w:line="300" w:lineRule="auto"/>
        <w:ind w:firstLine="420" w:firstLineChars="200"/>
        <w:rPr>
          <w:rFonts w:cs="宋体"/>
          <w:szCs w:val="21"/>
        </w:rPr>
      </w:pPr>
      <w:r>
        <w:rPr>
          <w:rFonts w:hint="eastAsia" w:cs="宋体"/>
          <w:szCs w:val="21"/>
        </w:rPr>
        <w:t xml:space="preserve">2.教学实施建议：创意文案写作是个性化体现较强的一门专业基础课。建议采用课堂教学为主，辅之以讨论、作品分析、仿真练习、个例演示等多种教学手段，以调动学生的学习积极性，活跃课堂气氛，顺利完成教学任务。 </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（1）考核方式：课程的考核性质为考查，由形成性考核与期末大作业两部分构成，评分方式为百分制。</w:t>
      </w:r>
    </w:p>
    <w:p>
      <w:pPr>
        <w:spacing w:line="300" w:lineRule="auto"/>
        <w:ind w:firstLine="420" w:firstLineChars="200"/>
        <w:rPr>
          <w:rFonts w:cs="宋体"/>
          <w:szCs w:val="21"/>
        </w:rPr>
      </w:pPr>
      <w:r>
        <w:rPr>
          <w:rFonts w:hint="eastAsia" w:cs="宋体"/>
          <w:szCs w:val="21"/>
        </w:rPr>
        <w:t>（2）考核内容：按照各阶段分课题实践课作业与期末大作业内容设定。</w:t>
      </w:r>
    </w:p>
    <w:p>
      <w:pPr>
        <w:spacing w:line="300" w:lineRule="auto"/>
        <w:ind w:firstLine="420" w:firstLineChars="200"/>
        <w:rPr>
          <w:rFonts w:ascii="宋体" w:hAnsi="宋体" w:cs="宋体"/>
          <w:szCs w:val="21"/>
        </w:rPr>
      </w:pPr>
      <w:r>
        <w:rPr>
          <w:rFonts w:hint="eastAsia" w:cs="宋体"/>
          <w:szCs w:val="21"/>
        </w:rPr>
        <w:t>（3）实施办法：课程考核由形成性考核60%+期末大作业40%两个部分组成。</w:t>
      </w:r>
    </w:p>
    <w:p>
      <w:pPr>
        <w:ind w:firstLine="420" w:firstLineChars="200"/>
        <w:rPr>
          <w:rFonts w:ascii="宋体" w:hAnsi="宋体" w:cs="宋体"/>
          <w:szCs w:val="21"/>
        </w:rPr>
      </w:pPr>
    </w:p>
    <w:p>
      <w:pPr>
        <w:spacing w:line="300" w:lineRule="auto"/>
        <w:ind w:firstLine="420" w:firstLineChars="200"/>
        <w:rPr>
          <w:rFonts w:cs="宋体"/>
          <w:szCs w:val="21"/>
        </w:rPr>
      </w:pPr>
      <w:r>
        <w:rPr>
          <w:rFonts w:hint="eastAsia" w:cs="宋体"/>
          <w:szCs w:val="21"/>
        </w:rPr>
        <w:t>（六）广告创意与策划（32学时）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1）主要教学内容：本课程对文化产业基本运作流程展开分析与讨论，探讨创意与策划的概念、方法及其之间的关系，研究关于广告产品、文化品牌、广告创意与策划的特色、及具体操作方式，以培养广告产业相关岗位需要的能进行分析、创意、策划、撰写创意策划文案的能力为职业培养目标。对培养创新型策划人的职业能力和社会能力起着主要的支撑作用。为实现学生“零距离上岗”打下良好基础，体现了高等职业教育以就业为导向的方针，具有极强的应用性与实践性。</w:t>
      </w:r>
    </w:p>
    <w:p>
      <w:pPr>
        <w:spacing w:line="300" w:lineRule="auto"/>
        <w:ind w:firstLine="420" w:firstLineChars="200"/>
        <w:rPr>
          <w:rFonts w:cs="宋体"/>
          <w:szCs w:val="21"/>
        </w:rPr>
      </w:pPr>
      <w:r>
        <w:rPr>
          <w:rFonts w:hint="eastAsia" w:cs="宋体"/>
          <w:szCs w:val="21"/>
        </w:rPr>
        <w:t xml:space="preserve">（2）教学要求：本课程作为广告相关各专业的专业技能课，重点培养学生三大基本能力：创意能力、策划能力、文案撰写的能力。旨在使学生通过学习和掌握广告创意与文化产业策划相关理论知识，学习国内外广告文化产业创意与策划的经验和方法，通过案例讲授和合理引导学生进行的实践练习，力求使学生能对广告创意和策划有较为深刻的认识，达到基本的创意技能要求和初级策划的技能要求。 </w:t>
      </w:r>
    </w:p>
    <w:p>
      <w:pPr>
        <w:spacing w:line="300" w:lineRule="auto"/>
        <w:ind w:firstLine="420" w:firstLineChars="200"/>
        <w:rPr>
          <w:rFonts w:cs="宋体"/>
          <w:szCs w:val="21"/>
        </w:rPr>
      </w:pPr>
      <w:r>
        <w:rPr>
          <w:rFonts w:hint="eastAsia" w:cs="宋体"/>
          <w:szCs w:val="21"/>
        </w:rPr>
        <w:t xml:space="preserve">2.教学实施建议：课程实践部分的讲授采用案例式教学法，并结合授课内容有效组织学生在课堂上开展实践任务式练习，通过案例分析研究和实训练习及讲练使学生掌握创意与策划的基本技能，有效组织学生进行创意策划见习和企业上岗见习，能更好地加强学习效果。 </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（1）考试形式：闭卷笔试</w:t>
      </w:r>
    </w:p>
    <w:p>
      <w:pPr>
        <w:spacing w:line="300" w:lineRule="auto"/>
        <w:ind w:firstLine="420" w:firstLineChars="200"/>
        <w:rPr>
          <w:rFonts w:cs="宋体"/>
          <w:szCs w:val="21"/>
        </w:rPr>
      </w:pPr>
      <w:r>
        <w:rPr>
          <w:rFonts w:hint="eastAsia" w:cs="宋体"/>
          <w:szCs w:val="21"/>
        </w:rPr>
        <w:t>（2）本课程考试时间为120分钟，试题量应以高职三年级学生规定时间内完成全部试题为度。本课程考试试卷的题型，一般有：选择题、判断题、名词解释题、创意分析题、策划文案写作题、综合分析题等。</w:t>
      </w:r>
    </w:p>
    <w:p>
      <w:pPr>
        <w:spacing w:line="300" w:lineRule="auto"/>
        <w:ind w:firstLine="420" w:firstLineChars="200"/>
        <w:rPr>
          <w:rFonts w:cs="宋体"/>
          <w:szCs w:val="21"/>
        </w:rPr>
      </w:pPr>
      <w:r>
        <w:rPr>
          <w:rFonts w:hint="eastAsia" w:cs="宋体"/>
          <w:szCs w:val="21"/>
        </w:rPr>
        <w:t>（3）由于本课程为职业技能课程，对不同能力层次要求的分数比例，一般为：创意能力30％，策划文案写作40％，综合分析30％。 </w:t>
      </w:r>
    </w:p>
    <w:p>
      <w:pPr>
        <w:spacing w:line="300" w:lineRule="auto"/>
        <w:ind w:firstLine="420" w:firstLineChars="200"/>
        <w:rPr>
          <w:rFonts w:cs="宋体"/>
          <w:szCs w:val="21"/>
        </w:rPr>
      </w:pPr>
      <w:r>
        <w:rPr>
          <w:rFonts w:hint="eastAsia" w:cs="宋体"/>
          <w:szCs w:val="21"/>
        </w:rPr>
        <w:t xml:space="preserve">（4）要合理安排试卷的难度结构。试题的难度分为易、较易、较难、难四等。 </w:t>
      </w:r>
    </w:p>
    <w:p>
      <w:pPr>
        <w:spacing w:line="300" w:lineRule="auto"/>
        <w:ind w:firstLine="420" w:firstLineChars="200"/>
        <w:rPr>
          <w:rFonts w:cs="宋体"/>
          <w:szCs w:val="21"/>
        </w:rPr>
      </w:pPr>
      <w:r>
        <w:rPr>
          <w:rFonts w:hint="eastAsia" w:cs="宋体"/>
          <w:szCs w:val="21"/>
        </w:rPr>
        <w:t>（5）期末总成绩评定：平时50%（考勤：20%成实践任务完成情况：50%务课堂表现及作业：30%） 期末50%。</w:t>
      </w:r>
    </w:p>
    <w:p>
      <w:pPr>
        <w:spacing w:line="300" w:lineRule="auto"/>
        <w:ind w:firstLine="420" w:firstLineChars="200"/>
        <w:rPr>
          <w:rFonts w:ascii="宋体" w:hAnsi="宋体" w:cs="宋体"/>
          <w:szCs w:val="21"/>
        </w:rPr>
      </w:pPr>
    </w:p>
    <w:p>
      <w:pPr>
        <w:spacing w:line="300" w:lineRule="auto"/>
        <w:ind w:firstLine="420" w:firstLineChars="200"/>
        <w:rPr>
          <w:rFonts w:cs="宋体"/>
          <w:szCs w:val="21"/>
        </w:rPr>
      </w:pPr>
      <w:r>
        <w:rPr>
          <w:rFonts w:hint="eastAsia" w:cs="宋体"/>
          <w:szCs w:val="21"/>
        </w:rPr>
        <w:t>（七）包装设计（64学时）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本课程主要讲授产品包装的造型、结构、功能和装饰等知识,以及产品包装的造型设计和平面装饰设计的基本方法和基本技能。</w:t>
      </w:r>
    </w:p>
    <w:p>
      <w:pPr>
        <w:spacing w:line="300" w:lineRule="auto"/>
        <w:ind w:firstLine="420" w:firstLineChars="200"/>
        <w:rPr>
          <w:rFonts w:cs="宋体"/>
          <w:szCs w:val="21"/>
        </w:rPr>
      </w:pPr>
      <w:r>
        <w:rPr>
          <w:rFonts w:hint="eastAsia" w:cs="宋体"/>
          <w:szCs w:val="21"/>
        </w:rPr>
        <w:t>2.教学实施建议：</w:t>
      </w:r>
    </w:p>
    <w:p>
      <w:pPr>
        <w:spacing w:line="300" w:lineRule="auto"/>
        <w:ind w:firstLine="420" w:firstLineChars="200"/>
        <w:rPr>
          <w:rFonts w:cs="宋体"/>
          <w:szCs w:val="21"/>
        </w:rPr>
      </w:pPr>
      <w:r>
        <w:rPr>
          <w:rFonts w:hint="eastAsia" w:cs="宋体"/>
          <w:szCs w:val="21"/>
        </w:rPr>
        <w:t>（1）使用国家或江苏省推荐的高职高专规划教材；</w:t>
      </w:r>
    </w:p>
    <w:p>
      <w:pPr>
        <w:spacing w:line="300" w:lineRule="auto"/>
        <w:ind w:firstLine="420" w:firstLineChars="200"/>
        <w:rPr>
          <w:rFonts w:cs="宋体"/>
          <w:szCs w:val="21"/>
        </w:rPr>
      </w:pPr>
      <w:r>
        <w:rPr>
          <w:rFonts w:hint="eastAsia" w:cs="宋体"/>
          <w:szCs w:val="21"/>
        </w:rPr>
        <w:t>（2）以案例教学为主，采用理论实践一体化教学模式，充分运用多媒体等教学手段</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（1）考核方式：课程的考核性质为考查，由形成性考核与期末大作业两部分构成，评分方式为百分制。</w:t>
      </w:r>
    </w:p>
    <w:p>
      <w:pPr>
        <w:spacing w:line="300" w:lineRule="auto"/>
        <w:ind w:firstLine="420" w:firstLineChars="200"/>
        <w:rPr>
          <w:rFonts w:cs="宋体"/>
          <w:szCs w:val="21"/>
        </w:rPr>
      </w:pPr>
      <w:r>
        <w:rPr>
          <w:rFonts w:hint="eastAsia" w:cs="宋体"/>
          <w:szCs w:val="21"/>
        </w:rPr>
        <w:t>（2）考核内容：按照各阶段分课题实践课作业与期末大作业内容设定。</w:t>
      </w:r>
    </w:p>
    <w:p>
      <w:pPr>
        <w:spacing w:line="300" w:lineRule="auto"/>
        <w:ind w:firstLine="420" w:firstLineChars="200"/>
        <w:rPr>
          <w:rFonts w:cs="宋体"/>
          <w:szCs w:val="21"/>
        </w:rPr>
      </w:pPr>
      <w:r>
        <w:rPr>
          <w:rFonts w:hint="eastAsia" w:cs="宋体"/>
          <w:szCs w:val="21"/>
        </w:rPr>
        <w:t>（3）实施办法：课程考核由形成性考核60%+期末大作业40%两个部分组成。</w:t>
      </w:r>
    </w:p>
    <w:p>
      <w:pPr>
        <w:spacing w:line="300" w:lineRule="auto"/>
        <w:ind w:firstLine="420" w:firstLineChars="200"/>
        <w:rPr>
          <w:rFonts w:ascii="宋体" w:hAnsi="宋体" w:cs="宋体"/>
          <w:szCs w:val="21"/>
        </w:rPr>
      </w:pPr>
    </w:p>
    <w:p>
      <w:pPr>
        <w:spacing w:line="300" w:lineRule="auto"/>
        <w:ind w:firstLine="420" w:firstLineChars="200"/>
        <w:rPr>
          <w:rFonts w:cs="宋体"/>
          <w:szCs w:val="21"/>
        </w:rPr>
      </w:pPr>
      <w:r>
        <w:rPr>
          <w:rFonts w:hint="eastAsia" w:cs="宋体"/>
          <w:szCs w:val="21"/>
        </w:rPr>
        <w:t>（八）广告设计与制作（64学时）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本课程主要讲授广告的基本内容、形式，掌握广告设计的手段，能进行多种风格的创意设计。在本课程的教学过程中，应完成实务性较强的课程实训。</w:t>
      </w:r>
    </w:p>
    <w:p>
      <w:pPr>
        <w:spacing w:line="300" w:lineRule="auto"/>
        <w:ind w:firstLine="420" w:firstLineChars="200"/>
        <w:rPr>
          <w:rFonts w:cs="宋体"/>
          <w:szCs w:val="21"/>
        </w:rPr>
      </w:pPr>
      <w:r>
        <w:rPr>
          <w:rFonts w:hint="eastAsia" w:cs="宋体"/>
          <w:szCs w:val="21"/>
        </w:rPr>
        <w:t>2.教学实施建议：</w:t>
      </w:r>
    </w:p>
    <w:p>
      <w:pPr>
        <w:spacing w:line="300" w:lineRule="auto"/>
        <w:ind w:firstLine="420" w:firstLineChars="200"/>
        <w:rPr>
          <w:rFonts w:cs="宋体"/>
          <w:szCs w:val="21"/>
        </w:rPr>
      </w:pPr>
      <w:r>
        <w:rPr>
          <w:rFonts w:hint="eastAsia" w:cs="宋体"/>
          <w:szCs w:val="21"/>
        </w:rPr>
        <w:t>（1）使用国家或江苏省推荐的高职高专规划教材；</w:t>
      </w:r>
    </w:p>
    <w:p>
      <w:pPr>
        <w:spacing w:line="300" w:lineRule="auto"/>
        <w:ind w:firstLine="420" w:firstLineChars="200"/>
        <w:rPr>
          <w:rFonts w:cs="宋体"/>
          <w:szCs w:val="21"/>
        </w:rPr>
      </w:pPr>
      <w:r>
        <w:rPr>
          <w:rFonts w:hint="eastAsia" w:cs="宋体"/>
          <w:szCs w:val="21"/>
        </w:rPr>
        <w:t>（2）以案例教学为主，采用理论实践一体化教学模式，充分运用多媒体等教学手段</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（1）考核方式：课程的考核性质为考查，由形成性考核与期末大作业两部分构成，评分方式为百分制。</w:t>
      </w:r>
    </w:p>
    <w:p>
      <w:pPr>
        <w:spacing w:line="300" w:lineRule="auto"/>
        <w:ind w:firstLine="420" w:firstLineChars="200"/>
        <w:rPr>
          <w:rFonts w:cs="宋体"/>
          <w:szCs w:val="21"/>
        </w:rPr>
      </w:pPr>
      <w:r>
        <w:rPr>
          <w:rFonts w:hint="eastAsia" w:cs="宋体"/>
          <w:szCs w:val="21"/>
        </w:rPr>
        <w:t>（2）考核内容：按照各阶段分课题实践课作业与期末大作业内容设定。</w:t>
      </w:r>
    </w:p>
    <w:p>
      <w:pPr>
        <w:spacing w:line="300" w:lineRule="auto"/>
        <w:ind w:firstLine="420" w:firstLineChars="200"/>
        <w:rPr>
          <w:rFonts w:cs="宋体"/>
          <w:szCs w:val="21"/>
        </w:rPr>
      </w:pPr>
      <w:r>
        <w:rPr>
          <w:rFonts w:hint="eastAsia" w:cs="宋体"/>
          <w:szCs w:val="21"/>
        </w:rPr>
        <w:t>（3）实施办法：课程考核由形成性考核60%+期末大作业40%两个部分组成。</w:t>
      </w:r>
    </w:p>
    <w:p>
      <w:pPr>
        <w:numPr>
          <w:ilvl w:val="0"/>
          <w:numId w:val="4"/>
        </w:numPr>
        <w:spacing w:line="300" w:lineRule="auto"/>
        <w:ind w:firstLine="420" w:firstLineChars="200"/>
        <w:rPr>
          <w:rFonts w:cs="宋体"/>
          <w:szCs w:val="21"/>
        </w:rPr>
      </w:pPr>
      <w:r>
        <w:rPr>
          <w:rFonts w:hint="eastAsia" w:cs="宋体"/>
          <w:szCs w:val="21"/>
        </w:rPr>
        <w:t>室内设计（64学时）</w:t>
      </w:r>
    </w:p>
    <w:p>
      <w:pPr>
        <w:numPr>
          <w:ilvl w:val="255"/>
          <w:numId w:val="0"/>
        </w:numPr>
        <w:spacing w:line="300" w:lineRule="auto"/>
        <w:ind w:firstLine="420" w:firstLineChars="200"/>
        <w:rPr>
          <w:rFonts w:cs="宋体"/>
          <w:szCs w:val="21"/>
        </w:rPr>
      </w:pPr>
      <w:r>
        <w:rPr>
          <w:rFonts w:hint="eastAsia" w:cs="宋体"/>
          <w:szCs w:val="21"/>
        </w:rPr>
        <w:t>1.主要教学内容及要求：</w:t>
      </w:r>
    </w:p>
    <w:p>
      <w:pPr>
        <w:numPr>
          <w:ilvl w:val="255"/>
          <w:numId w:val="0"/>
        </w:numPr>
        <w:spacing w:line="300" w:lineRule="auto"/>
        <w:ind w:firstLine="420" w:firstLineChars="200"/>
        <w:rPr>
          <w:rFonts w:cs="宋体"/>
          <w:szCs w:val="21"/>
        </w:rPr>
      </w:pPr>
      <w:r>
        <w:rPr>
          <w:rFonts w:hint="eastAsia" w:cs="宋体"/>
          <w:szCs w:val="21"/>
        </w:rPr>
        <w:t>（1）灵活地掌握室内设计的理论和严格的表现技法，能运用理性和逻辑推理的方法进行室内空间的设计。</w:t>
      </w:r>
    </w:p>
    <w:p>
      <w:pPr>
        <w:numPr>
          <w:ilvl w:val="255"/>
          <w:numId w:val="0"/>
        </w:numPr>
        <w:spacing w:line="300" w:lineRule="auto"/>
        <w:ind w:firstLine="420" w:firstLineChars="200"/>
        <w:rPr>
          <w:rFonts w:cs="宋体"/>
          <w:szCs w:val="21"/>
        </w:rPr>
      </w:pPr>
      <w:r>
        <w:rPr>
          <w:rFonts w:hint="eastAsia" w:cs="宋体"/>
          <w:szCs w:val="21"/>
        </w:rPr>
        <w:t>（2）掌握艺术设计中色彩方面的基本原理、规律、法则。</w:t>
      </w:r>
    </w:p>
    <w:p>
      <w:pPr>
        <w:numPr>
          <w:ilvl w:val="255"/>
          <w:numId w:val="0"/>
        </w:numPr>
        <w:spacing w:line="300" w:lineRule="auto"/>
        <w:ind w:firstLine="420" w:firstLineChars="200"/>
        <w:rPr>
          <w:rFonts w:cs="宋体"/>
          <w:szCs w:val="21"/>
        </w:rPr>
      </w:pPr>
      <w:r>
        <w:rPr>
          <w:rFonts w:hint="eastAsia" w:cs="宋体"/>
          <w:szCs w:val="21"/>
        </w:rPr>
        <w:t>（3）充分了解、掌握构成和色彩构成的各种组合规律，并能熟练运用构成方法进行设计。</w:t>
      </w:r>
    </w:p>
    <w:p>
      <w:pPr>
        <w:numPr>
          <w:ilvl w:val="255"/>
          <w:numId w:val="0"/>
        </w:numPr>
        <w:spacing w:line="300" w:lineRule="auto"/>
        <w:ind w:firstLine="420" w:firstLineChars="200"/>
        <w:rPr>
          <w:rFonts w:cs="宋体"/>
          <w:szCs w:val="21"/>
        </w:rPr>
      </w:pPr>
      <w:r>
        <w:rPr>
          <w:rFonts w:hint="eastAsia" w:cs="宋体"/>
          <w:szCs w:val="21"/>
        </w:rPr>
        <w:t>（4）充分学习了解灯光和色彩构成设计理论在现代装饰设计中的运用及发展趋势。 能够把所学的平面构成和色彩构成设计规律运用到室内设计中去。</w:t>
      </w:r>
    </w:p>
    <w:p>
      <w:pPr>
        <w:numPr>
          <w:ilvl w:val="255"/>
          <w:numId w:val="0"/>
        </w:numPr>
        <w:spacing w:line="300" w:lineRule="auto"/>
        <w:ind w:firstLine="420" w:firstLineChars="200"/>
        <w:rPr>
          <w:rFonts w:cs="宋体"/>
          <w:szCs w:val="21"/>
        </w:rPr>
      </w:pPr>
      <w:r>
        <w:rPr>
          <w:rFonts w:hint="eastAsia" w:cs="宋体"/>
          <w:szCs w:val="21"/>
        </w:rPr>
        <w:t xml:space="preserve">（5）通过针对室内空间设计的训练，培养学生对空间设计的敏锐感觉，丰富学生的想象力，最终培养学生的创造力。 </w:t>
      </w:r>
    </w:p>
    <w:p>
      <w:pPr>
        <w:numPr>
          <w:ilvl w:val="255"/>
          <w:numId w:val="0"/>
        </w:numPr>
        <w:spacing w:line="300" w:lineRule="auto"/>
        <w:ind w:firstLine="420" w:firstLineChars="200"/>
        <w:rPr>
          <w:rFonts w:cs="宋体"/>
          <w:szCs w:val="21"/>
        </w:rPr>
      </w:pPr>
      <w:r>
        <w:rPr>
          <w:rFonts w:hint="eastAsia" w:cs="宋体"/>
          <w:szCs w:val="21"/>
        </w:rPr>
        <w:t>2.教学实施建议：</w:t>
      </w:r>
    </w:p>
    <w:p>
      <w:pPr>
        <w:numPr>
          <w:ilvl w:val="255"/>
          <w:numId w:val="0"/>
        </w:numPr>
        <w:spacing w:line="300" w:lineRule="auto"/>
        <w:ind w:firstLine="420" w:firstLineChars="200"/>
        <w:rPr>
          <w:rFonts w:cs="宋体"/>
          <w:szCs w:val="21"/>
        </w:rPr>
      </w:pPr>
      <w:r>
        <w:rPr>
          <w:rFonts w:hint="eastAsia" w:cs="宋体"/>
          <w:szCs w:val="21"/>
        </w:rPr>
        <w:t>（1）本课程的教学采用课堂面授，配合以设计作品赏析。 操作内容包括课堂作业与综合报告。</w:t>
      </w:r>
    </w:p>
    <w:p>
      <w:pPr>
        <w:numPr>
          <w:ilvl w:val="255"/>
          <w:numId w:val="0"/>
        </w:numPr>
        <w:spacing w:line="300" w:lineRule="auto"/>
        <w:ind w:firstLine="420" w:firstLineChars="200"/>
        <w:rPr>
          <w:rFonts w:cs="宋体"/>
          <w:szCs w:val="21"/>
        </w:rPr>
      </w:pPr>
      <w:r>
        <w:rPr>
          <w:rFonts w:hint="eastAsia" w:cs="宋体"/>
          <w:szCs w:val="21"/>
        </w:rPr>
        <w:t>（2）掌握好讲授的难点与重点，重点在理论与实践的结合。</w:t>
      </w:r>
    </w:p>
    <w:p>
      <w:pPr>
        <w:numPr>
          <w:ilvl w:val="255"/>
          <w:numId w:val="0"/>
        </w:numPr>
        <w:spacing w:line="300" w:lineRule="auto"/>
        <w:ind w:firstLine="420" w:firstLineChars="200"/>
        <w:rPr>
          <w:rFonts w:cs="宋体"/>
          <w:szCs w:val="21"/>
        </w:rPr>
      </w:pPr>
      <w:r>
        <w:rPr>
          <w:rFonts w:hint="eastAsia" w:cs="宋体"/>
          <w:szCs w:val="21"/>
        </w:rPr>
        <w:t>（3）及时补充新知识的介绍、启发提出问题并讨论。</w:t>
      </w:r>
    </w:p>
    <w:p>
      <w:pPr>
        <w:numPr>
          <w:ilvl w:val="255"/>
          <w:numId w:val="0"/>
        </w:numPr>
        <w:spacing w:line="300" w:lineRule="auto"/>
        <w:ind w:firstLine="420" w:firstLineChars="200"/>
        <w:rPr>
          <w:rFonts w:cs="宋体"/>
          <w:szCs w:val="21"/>
        </w:rPr>
      </w:pPr>
      <w:r>
        <w:rPr>
          <w:rFonts w:hint="eastAsia" w:cs="宋体"/>
          <w:szCs w:val="21"/>
        </w:rPr>
        <w:t>（4）在讲授设计理论的同时保证设计实践内容的作业量，即时解决各环节作业问题。</w:t>
      </w:r>
    </w:p>
    <w:p>
      <w:pPr>
        <w:numPr>
          <w:ilvl w:val="255"/>
          <w:numId w:val="0"/>
        </w:numPr>
        <w:spacing w:line="300" w:lineRule="auto"/>
        <w:ind w:firstLine="420" w:firstLineChars="200"/>
        <w:rPr>
          <w:rFonts w:cs="宋体"/>
          <w:szCs w:val="21"/>
        </w:rPr>
      </w:pPr>
      <w:r>
        <w:rPr>
          <w:rFonts w:hint="eastAsia" w:cs="宋体"/>
          <w:szCs w:val="21"/>
        </w:rPr>
        <w:t xml:space="preserve">（5）以文字教材为纲，结合教学需要尽量多增加动手能力与实践环节，以多媒体课件光盘、教学示范等相关辅助手段。 </w:t>
      </w:r>
    </w:p>
    <w:p>
      <w:pPr>
        <w:numPr>
          <w:ilvl w:val="255"/>
          <w:numId w:val="0"/>
        </w:numPr>
        <w:spacing w:line="300" w:lineRule="auto"/>
        <w:ind w:firstLine="420" w:firstLineChars="200"/>
        <w:rPr>
          <w:rFonts w:cs="宋体"/>
          <w:szCs w:val="21"/>
        </w:rPr>
      </w:pPr>
      <w:r>
        <w:rPr>
          <w:rFonts w:hint="eastAsia" w:cs="宋体"/>
          <w:szCs w:val="21"/>
        </w:rPr>
        <w:t xml:space="preserve">3.考核方法：以作业形式进行考核，平时作业成绩的总评即为该课程成绩。作业由具体任课教师根据大纲自行拟题。 </w:t>
      </w:r>
    </w:p>
    <w:p>
      <w:pPr>
        <w:numPr>
          <w:ilvl w:val="255"/>
          <w:numId w:val="0"/>
        </w:numPr>
        <w:spacing w:line="300" w:lineRule="auto"/>
        <w:ind w:firstLine="420" w:firstLineChars="200"/>
        <w:rPr>
          <w:rFonts w:ascii="宋体" w:hAnsi="宋体" w:cs="宋体"/>
          <w:szCs w:val="21"/>
        </w:rPr>
      </w:pPr>
    </w:p>
    <w:p>
      <w:pPr>
        <w:numPr>
          <w:ilvl w:val="255"/>
          <w:numId w:val="0"/>
        </w:numPr>
        <w:spacing w:line="300" w:lineRule="auto"/>
        <w:ind w:firstLine="420" w:firstLineChars="200"/>
        <w:rPr>
          <w:rFonts w:cs="宋体"/>
          <w:szCs w:val="21"/>
        </w:rPr>
      </w:pPr>
      <w:r>
        <w:rPr>
          <w:rFonts w:hint="eastAsia" w:cs="宋体"/>
          <w:szCs w:val="21"/>
        </w:rPr>
        <w:t>（十）企业形象设计（64学时）</w:t>
      </w:r>
    </w:p>
    <w:p>
      <w:pPr>
        <w:numPr>
          <w:ilvl w:val="255"/>
          <w:numId w:val="0"/>
        </w:numPr>
        <w:spacing w:line="300" w:lineRule="auto"/>
        <w:ind w:firstLine="420" w:firstLineChars="200"/>
        <w:rPr>
          <w:rFonts w:cs="宋体"/>
          <w:szCs w:val="21"/>
        </w:rPr>
      </w:pPr>
      <w:r>
        <w:rPr>
          <w:rFonts w:hint="eastAsia" w:cs="宋体"/>
          <w:szCs w:val="21"/>
        </w:rPr>
        <w:t>1.主要教学内容及要求：</w:t>
      </w:r>
    </w:p>
    <w:p>
      <w:pPr>
        <w:numPr>
          <w:ilvl w:val="255"/>
          <w:numId w:val="0"/>
        </w:numPr>
        <w:spacing w:line="300" w:lineRule="auto"/>
        <w:ind w:firstLine="420" w:firstLineChars="200"/>
        <w:rPr>
          <w:rFonts w:cs="宋体"/>
          <w:szCs w:val="21"/>
        </w:rPr>
      </w:pPr>
      <w:r>
        <w:rPr>
          <w:rFonts w:hint="eastAsia" w:cs="宋体"/>
          <w:szCs w:val="21"/>
        </w:rPr>
        <w:t xml:space="preserve">本课程主要包括CI设计的概念、特性和功能、构成要素、基本程序、市场调查与分析和设计实践等部分。通过本课程的学习，让学生了解企业理念确立、行为识别规范、视觉形象设计的程序与方法，最终使学生掌握企业形象设计这一塑造品牌形象的战略武器。 </w:t>
      </w:r>
    </w:p>
    <w:p>
      <w:pPr>
        <w:numPr>
          <w:ilvl w:val="255"/>
          <w:numId w:val="0"/>
        </w:numPr>
        <w:spacing w:line="300" w:lineRule="auto"/>
        <w:ind w:firstLine="420" w:firstLineChars="200"/>
        <w:rPr>
          <w:rFonts w:cs="宋体"/>
          <w:szCs w:val="21"/>
        </w:rPr>
      </w:pPr>
      <w:r>
        <w:rPr>
          <w:rFonts w:hint="eastAsia" w:cs="宋体"/>
          <w:szCs w:val="21"/>
        </w:rPr>
        <w:t>2.教学实施建议：课堂讲授为主，结合多媒体教学和实践教学。练习实践课是重要的教学环节，教师必须予以重视。</w:t>
      </w:r>
    </w:p>
    <w:p>
      <w:pPr>
        <w:numPr>
          <w:ilvl w:val="255"/>
          <w:numId w:val="0"/>
        </w:numPr>
        <w:spacing w:line="300" w:lineRule="auto"/>
        <w:ind w:firstLine="420" w:firstLineChars="200"/>
        <w:rPr>
          <w:rFonts w:cs="宋体"/>
          <w:szCs w:val="21"/>
        </w:rPr>
      </w:pPr>
      <w:r>
        <w:rPr>
          <w:rFonts w:hint="eastAsia" w:cs="宋体"/>
          <w:szCs w:val="21"/>
        </w:rPr>
        <w:t xml:space="preserve">3.考核方法：考核方式为考试。综合成绩根据平时成绩和期末成绩评定，平时成绩占40% ，期末成绩占60% 。 </w:t>
      </w:r>
    </w:p>
    <w:p>
      <w:pPr>
        <w:spacing w:line="300" w:lineRule="auto"/>
        <w:rPr>
          <w:rFonts w:ascii="宋体" w:hAnsi="宋体" w:cs="宋体"/>
          <w:szCs w:val="21"/>
        </w:rPr>
      </w:pPr>
      <w:r>
        <w:rPr>
          <w:rFonts w:hint="eastAsia" w:ascii="宋体" w:hAnsi="宋体" w:cs="宋体"/>
          <w:szCs w:val="21"/>
        </w:rPr>
        <w:t xml:space="preserve"> </w:t>
      </w:r>
    </w:p>
    <w:p>
      <w:pPr>
        <w:spacing w:line="300" w:lineRule="auto"/>
        <w:ind w:firstLine="420" w:firstLineChars="200"/>
        <w:rPr>
          <w:rFonts w:cs="宋体"/>
          <w:szCs w:val="21"/>
        </w:rPr>
      </w:pPr>
      <w:r>
        <w:rPr>
          <w:rFonts w:hint="eastAsia" w:cs="宋体"/>
          <w:szCs w:val="21"/>
        </w:rPr>
        <w:t>（十一）专业实习  (120学时)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（1）了解企业概况：学生进入企业实习，首先应对企业的概况有些了解，包括企业所在行业的特点等信息。</w:t>
      </w:r>
    </w:p>
    <w:p>
      <w:pPr>
        <w:spacing w:line="300" w:lineRule="auto"/>
        <w:ind w:firstLine="420" w:firstLineChars="200"/>
        <w:rPr>
          <w:rFonts w:cs="宋体"/>
          <w:szCs w:val="21"/>
        </w:rPr>
      </w:pPr>
      <w:r>
        <w:rPr>
          <w:rFonts w:hint="eastAsia" w:cs="宋体"/>
          <w:szCs w:val="21"/>
        </w:rPr>
        <w:t>（2）熟悉企业的主要业务及工作流程：学生通过实习把学校学习的知识要有效的运用到实际工作中去，在具体工作前，应对实习工作项目任务，目的和流程做全面深入地了解</w:t>
      </w:r>
    </w:p>
    <w:p>
      <w:pPr>
        <w:spacing w:line="300" w:lineRule="auto"/>
        <w:ind w:firstLine="420" w:firstLineChars="200"/>
        <w:rPr>
          <w:rFonts w:cs="宋体"/>
          <w:szCs w:val="21"/>
        </w:rPr>
      </w:pPr>
      <w:r>
        <w:rPr>
          <w:rFonts w:hint="eastAsia" w:cs="宋体"/>
          <w:szCs w:val="21"/>
        </w:rPr>
        <w:t>2.教学实施建议：</w:t>
      </w:r>
    </w:p>
    <w:p>
      <w:pPr>
        <w:spacing w:line="300" w:lineRule="auto"/>
        <w:ind w:firstLine="420" w:firstLineChars="200"/>
        <w:rPr>
          <w:rFonts w:cs="宋体"/>
          <w:szCs w:val="21"/>
        </w:rPr>
      </w:pPr>
      <w:r>
        <w:rPr>
          <w:rFonts w:hint="eastAsia" w:cs="宋体"/>
          <w:szCs w:val="21"/>
        </w:rPr>
        <w:t>（1）实习时间：第九学期，由毕业实习指导小组成员安排毕业实习指导老师，召开学生毕业实习动员会，布置实习要求，下发实习考核文本材料（专业毕业实习大纲、实习介绍信、毕业实习周记、毕业实习报告、毕业实习鉴定表）。</w:t>
      </w:r>
    </w:p>
    <w:p>
      <w:pPr>
        <w:spacing w:line="300" w:lineRule="auto"/>
        <w:ind w:firstLine="420" w:firstLineChars="200"/>
        <w:rPr>
          <w:rFonts w:cs="宋体"/>
          <w:szCs w:val="21"/>
        </w:rPr>
      </w:pPr>
      <w:r>
        <w:rPr>
          <w:rFonts w:hint="eastAsia" w:cs="宋体"/>
          <w:szCs w:val="21"/>
        </w:rPr>
        <w:t>（2）在规定实习期内完成毕业实习，把毕业实习周记、毕业实习报告和毕业实习鉴定表交给毕业实习指导老师，作为学生毕业实习成绩的审阅评分依据。</w:t>
      </w:r>
    </w:p>
    <w:p>
      <w:pPr>
        <w:spacing w:line="300" w:lineRule="auto"/>
        <w:ind w:firstLine="420" w:firstLineChars="200"/>
        <w:rPr>
          <w:rFonts w:cs="宋体"/>
          <w:szCs w:val="21"/>
        </w:rPr>
      </w:pPr>
      <w:r>
        <w:rPr>
          <w:rFonts w:hint="eastAsia" w:cs="宋体"/>
          <w:szCs w:val="21"/>
        </w:rPr>
        <w:t>（3）实习形式：到广告公司、室内设计、媒介单位等实地学习、工作。</w:t>
      </w:r>
    </w:p>
    <w:p>
      <w:pPr>
        <w:spacing w:line="300" w:lineRule="auto"/>
        <w:ind w:firstLine="420" w:firstLineChars="200"/>
        <w:rPr>
          <w:rFonts w:cs="宋体"/>
          <w:szCs w:val="21"/>
        </w:rPr>
      </w:pPr>
      <w:r>
        <w:rPr>
          <w:rFonts w:hint="eastAsia" w:cs="宋体"/>
          <w:szCs w:val="21"/>
        </w:rPr>
        <w:t>3.考核方法：</w:t>
      </w:r>
    </w:p>
    <w:p>
      <w:pPr>
        <w:spacing w:line="300" w:lineRule="auto"/>
        <w:ind w:firstLine="420" w:firstLineChars="200"/>
        <w:rPr>
          <w:rFonts w:cs="宋体"/>
          <w:szCs w:val="21"/>
        </w:rPr>
      </w:pPr>
      <w:r>
        <w:rPr>
          <w:rFonts w:hint="eastAsia" w:cs="宋体"/>
          <w:szCs w:val="21"/>
        </w:rPr>
        <w:t xml:space="preserve">按实习大纲要求，学生必须完成实习的全部任务，并提交毕业实习周记、毕业实习报告、毕业实习鉴定表。考核时可根据具体情况，采取不同的方式和形式进行。考核成绩分为优、良、中、及格、不及格五个等级。 </w:t>
      </w:r>
    </w:p>
    <w:p>
      <w:pPr>
        <w:spacing w:line="300" w:lineRule="auto"/>
        <w:ind w:firstLine="420" w:firstLineChars="200"/>
        <w:rPr>
          <w:rFonts w:cs="宋体"/>
          <w:szCs w:val="21"/>
        </w:rPr>
      </w:pPr>
      <w:r>
        <w:rPr>
          <w:rFonts w:hint="eastAsia" w:cs="宋体"/>
          <w:szCs w:val="21"/>
        </w:rPr>
        <w:t>评分标准如下：</w:t>
      </w:r>
    </w:p>
    <w:p>
      <w:pPr>
        <w:spacing w:line="300" w:lineRule="auto"/>
        <w:ind w:firstLine="420" w:firstLineChars="200"/>
        <w:rPr>
          <w:rFonts w:cs="宋体"/>
          <w:szCs w:val="21"/>
        </w:rPr>
      </w:pPr>
      <w:r>
        <w:rPr>
          <w:rFonts w:hint="eastAsia" w:cs="宋体"/>
          <w:szCs w:val="21"/>
        </w:rPr>
        <w:t>优秀：能出色地完成实习任务，达到实习大纲中规定的全部要求，实习报告能对实习内容进行全面、系统的总结，并能运用学过的理论对某些问题加以分析。实习态度端正，实习中无违纪行为。</w:t>
      </w:r>
    </w:p>
    <w:p>
      <w:pPr>
        <w:spacing w:line="300" w:lineRule="auto"/>
        <w:ind w:firstLine="420" w:firstLineChars="200"/>
        <w:rPr>
          <w:rFonts w:cs="宋体"/>
          <w:szCs w:val="21"/>
        </w:rPr>
      </w:pPr>
      <w:r>
        <w:rPr>
          <w:rFonts w:hint="eastAsia" w:cs="宋体"/>
          <w:szCs w:val="21"/>
        </w:rPr>
        <w:t>良好：能较好地完成实习任务，达到实习大纲中规定的全部要求，实习报告能对实习内容进行全面、系统的总结，实习态度端正，实习中无违纪行为。</w:t>
      </w:r>
    </w:p>
    <w:p>
      <w:pPr>
        <w:spacing w:line="300" w:lineRule="auto"/>
        <w:ind w:firstLine="420" w:firstLineChars="200"/>
        <w:rPr>
          <w:rFonts w:cs="宋体"/>
          <w:szCs w:val="21"/>
        </w:rPr>
      </w:pPr>
      <w:r>
        <w:rPr>
          <w:rFonts w:hint="eastAsia" w:cs="宋体"/>
          <w:szCs w:val="21"/>
        </w:rPr>
        <w:t>中等：达到实习大纲中规定的主要要求，实习报告能对实习内容进行全面的总结，实习态度端正，实习中无违纪行为。</w:t>
      </w:r>
    </w:p>
    <w:p>
      <w:pPr>
        <w:spacing w:line="300" w:lineRule="auto"/>
        <w:ind w:firstLine="420" w:firstLineChars="200"/>
        <w:rPr>
          <w:rFonts w:cs="宋体"/>
          <w:szCs w:val="21"/>
        </w:rPr>
      </w:pPr>
      <w:r>
        <w:rPr>
          <w:rFonts w:hint="eastAsia" w:cs="宋体"/>
          <w:szCs w:val="21"/>
        </w:rPr>
        <w:t>及格：实习态度端正，完成了实习的主要任务，达到实习大纲中规定的基本要求，能够完成实习报告，内容基本正确，但不够完整、系统，实习中虽有一般违纪行为，但能深刻认识，及时改正。</w:t>
      </w:r>
    </w:p>
    <w:p>
      <w:pPr>
        <w:spacing w:line="300" w:lineRule="auto"/>
        <w:ind w:firstLine="420" w:firstLineChars="200"/>
        <w:rPr>
          <w:rFonts w:cs="宋体"/>
          <w:szCs w:val="21"/>
        </w:rPr>
      </w:pPr>
      <w:r>
        <w:rPr>
          <w:rFonts w:hint="eastAsia" w:cs="宋体"/>
          <w:szCs w:val="21"/>
        </w:rPr>
        <w:t>不及格：凡具备下列条件之一者，均以不及格论。</w:t>
      </w:r>
    </w:p>
    <w:p>
      <w:pPr>
        <w:spacing w:line="300" w:lineRule="auto"/>
        <w:ind w:firstLine="420" w:firstLineChars="200"/>
        <w:rPr>
          <w:rFonts w:cs="宋体"/>
          <w:szCs w:val="21"/>
        </w:rPr>
      </w:pPr>
      <w:r>
        <w:rPr>
          <w:rFonts w:hint="eastAsia" w:cs="宋体"/>
          <w:szCs w:val="21"/>
        </w:rPr>
        <w:t>未达到实习大纲规定的基本要求，未按时提交毕业实习周记、毕业实习报告、毕业实习鉴定表，实习报告马虎潦草，或内容有明显错误者；</w:t>
      </w:r>
    </w:p>
    <w:p>
      <w:pPr>
        <w:spacing w:line="300" w:lineRule="auto"/>
        <w:ind w:firstLine="420" w:firstLineChars="200"/>
        <w:rPr>
          <w:rFonts w:cs="宋体"/>
          <w:szCs w:val="21"/>
        </w:rPr>
      </w:pPr>
      <w:r>
        <w:rPr>
          <w:rFonts w:hint="eastAsia" w:cs="宋体"/>
          <w:szCs w:val="21"/>
        </w:rPr>
        <w:t>未参加实习时间超过全部实习时间三分之一以上者；</w:t>
      </w:r>
    </w:p>
    <w:p>
      <w:pPr>
        <w:spacing w:line="300" w:lineRule="auto"/>
        <w:ind w:firstLine="420" w:firstLineChars="200"/>
        <w:rPr>
          <w:rFonts w:cs="宋体"/>
          <w:szCs w:val="21"/>
        </w:rPr>
      </w:pPr>
      <w:r>
        <w:rPr>
          <w:rFonts w:hint="eastAsia" w:cs="宋体"/>
          <w:szCs w:val="21"/>
        </w:rPr>
        <w:t>实习中有违纪行为，教育不改，或有严重违纪行为者；</w:t>
      </w:r>
    </w:p>
    <w:p>
      <w:pPr>
        <w:spacing w:line="300" w:lineRule="auto"/>
        <w:ind w:firstLine="420" w:firstLineChars="200"/>
        <w:rPr>
          <w:rFonts w:cs="宋体"/>
          <w:szCs w:val="21"/>
        </w:rPr>
      </w:pPr>
      <w:r>
        <w:rPr>
          <w:rFonts w:hint="eastAsia" w:cs="宋体"/>
          <w:szCs w:val="21"/>
        </w:rPr>
        <w:t>实习期间因故请假（或无故缺席）时间超过全部实习时间三分之一以上者，应令其补足或重新实习，否则，其实习成绩按不及格处理；</w:t>
      </w:r>
    </w:p>
    <w:p>
      <w:pPr>
        <w:spacing w:line="300" w:lineRule="auto"/>
        <w:ind w:firstLine="420" w:firstLineChars="200"/>
        <w:rPr>
          <w:rFonts w:cs="宋体"/>
          <w:szCs w:val="21"/>
        </w:rPr>
      </w:pPr>
      <w:r>
        <w:rPr>
          <w:rFonts w:hint="eastAsia" w:cs="宋体"/>
          <w:szCs w:val="21"/>
        </w:rPr>
        <w:t>未补实习或补做实习仍不及格者，按学籍管理的有关规定处理。</w:t>
      </w:r>
    </w:p>
    <w:p>
      <w:pPr>
        <w:spacing w:line="300" w:lineRule="auto"/>
        <w:ind w:firstLine="420" w:firstLineChars="200"/>
        <w:rPr>
          <w:rFonts w:cs="宋体"/>
          <w:szCs w:val="21"/>
        </w:rPr>
      </w:pPr>
      <w:r>
        <w:rPr>
          <w:rFonts w:hint="eastAsia" w:cs="宋体"/>
          <w:szCs w:val="21"/>
        </w:rPr>
        <w:t>根据实习单位和指导老师的鉴定、成绩，结合实习生个人总结、实习成果和指导老师的评语、成绩，由实习领导小组评定出实习成绩，按优、良、中、及格、不及格五等评定，并且优良率不超过20%。</w:t>
      </w:r>
    </w:p>
    <w:p>
      <w:pPr>
        <w:spacing w:line="300" w:lineRule="auto"/>
        <w:ind w:firstLine="420" w:firstLineChars="200"/>
        <w:rPr>
          <w:rFonts w:ascii="宋体" w:hAnsi="宋体" w:cs="宋体"/>
          <w:szCs w:val="21"/>
        </w:rPr>
      </w:pPr>
    </w:p>
    <w:p>
      <w:pPr>
        <w:spacing w:line="300" w:lineRule="auto"/>
        <w:ind w:firstLine="420" w:firstLineChars="200"/>
        <w:rPr>
          <w:rFonts w:cs="宋体"/>
          <w:szCs w:val="21"/>
        </w:rPr>
      </w:pPr>
      <w:r>
        <w:rPr>
          <w:rFonts w:hint="eastAsia" w:cs="宋体"/>
          <w:szCs w:val="21"/>
        </w:rPr>
        <w:t>（十二）毕业作业（120学时）</w:t>
      </w:r>
    </w:p>
    <w:p>
      <w:pPr>
        <w:spacing w:line="300" w:lineRule="auto"/>
        <w:ind w:firstLine="420" w:firstLineChars="200"/>
        <w:rPr>
          <w:rFonts w:cs="宋体"/>
          <w:szCs w:val="21"/>
        </w:rPr>
      </w:pPr>
      <w:r>
        <w:rPr>
          <w:rFonts w:hint="eastAsia" w:cs="宋体"/>
          <w:szCs w:val="21"/>
        </w:rPr>
        <w:t>1.主要教学内容及要求：</w:t>
      </w:r>
    </w:p>
    <w:p>
      <w:pPr>
        <w:spacing w:line="300" w:lineRule="auto"/>
        <w:ind w:firstLine="420" w:firstLineChars="200"/>
        <w:rPr>
          <w:rFonts w:cs="宋体"/>
          <w:szCs w:val="21"/>
        </w:rPr>
      </w:pPr>
      <w:r>
        <w:rPr>
          <w:rFonts w:hint="eastAsia" w:cs="宋体"/>
          <w:szCs w:val="21"/>
        </w:rPr>
        <w:t>毕业作业是职业技术学院学生在校学习的最后一个环节，是各个教学环节的延续、深化</w:t>
      </w:r>
      <w:bookmarkStart w:id="1" w:name="_GoBack"/>
      <w:bookmarkEnd w:id="1"/>
      <w:r>
        <w:rPr>
          <w:rFonts w:hint="eastAsia" w:cs="宋体"/>
          <w:szCs w:val="21"/>
        </w:rPr>
        <w:t>和综合拓展。</w:t>
      </w:r>
    </w:p>
    <w:p>
      <w:pPr>
        <w:spacing w:line="300" w:lineRule="auto"/>
        <w:ind w:firstLine="420" w:firstLineChars="200"/>
        <w:rPr>
          <w:rFonts w:cs="宋体"/>
          <w:szCs w:val="21"/>
        </w:rPr>
      </w:pPr>
      <w:r>
        <w:rPr>
          <w:rFonts w:hint="eastAsia" w:cs="宋体"/>
          <w:szCs w:val="21"/>
        </w:rPr>
        <w:t>根据对应届毕业作业的要求与安排，进行毕业设计的选题。选题时主要结合本专业的性质和特点，结合各地区的经济情况，结合工作岗位所需相关知识的需求、能力的需求进行考虑选题。</w:t>
      </w:r>
    </w:p>
    <w:p>
      <w:pPr>
        <w:spacing w:line="300" w:lineRule="auto"/>
        <w:ind w:firstLine="420" w:firstLineChars="200"/>
        <w:rPr>
          <w:rFonts w:cs="宋体"/>
          <w:szCs w:val="21"/>
        </w:rPr>
      </w:pPr>
      <w:r>
        <w:rPr>
          <w:rFonts w:hint="eastAsia" w:cs="宋体"/>
          <w:szCs w:val="21"/>
        </w:rPr>
        <w:t>2.教学实施建议：</w:t>
      </w:r>
    </w:p>
    <w:p>
      <w:pPr>
        <w:spacing w:line="300" w:lineRule="auto"/>
        <w:ind w:firstLine="420" w:firstLineChars="200"/>
        <w:rPr>
          <w:rFonts w:cs="宋体"/>
          <w:szCs w:val="21"/>
        </w:rPr>
      </w:pPr>
      <w:r>
        <w:rPr>
          <w:rFonts w:hint="eastAsia" w:cs="宋体"/>
          <w:szCs w:val="21"/>
        </w:rPr>
        <w:t>独立完成毕业作业工作，实事求是，严禁抄袭他人成果；按时完成毕业作业内容；论文字数不少于3000字；毕业论文的内容应属于自己所学的专业范围。选题应具有针对性，其难度与工作量应适合自己的知识和能力。毕业论文可由学生自选题目，但必须经指导老师同意。论文题目一经选定一般不可更改。</w:t>
      </w:r>
    </w:p>
    <w:p>
      <w:pPr>
        <w:spacing w:line="300" w:lineRule="auto"/>
        <w:ind w:firstLine="420" w:firstLineChars="200"/>
        <w:rPr>
          <w:rFonts w:cs="宋体"/>
          <w:szCs w:val="21"/>
        </w:rPr>
      </w:pPr>
      <w:r>
        <w:rPr>
          <w:rFonts w:hint="eastAsia" w:cs="宋体"/>
          <w:szCs w:val="21"/>
        </w:rPr>
        <w:t>毕业设计选题范围</w:t>
      </w:r>
    </w:p>
    <w:p>
      <w:pPr>
        <w:numPr>
          <w:ilvl w:val="0"/>
          <w:numId w:val="5"/>
        </w:numPr>
        <w:spacing w:line="300" w:lineRule="auto"/>
        <w:ind w:firstLine="420" w:firstLineChars="200"/>
        <w:rPr>
          <w:rFonts w:cs="宋体"/>
          <w:szCs w:val="21"/>
        </w:rPr>
      </w:pPr>
      <w:r>
        <w:rPr>
          <w:rFonts w:hint="eastAsia" w:cs="宋体"/>
          <w:szCs w:val="21"/>
        </w:rPr>
        <w:t>文化活动方案设计</w:t>
      </w:r>
    </w:p>
    <w:p>
      <w:pPr>
        <w:numPr>
          <w:ilvl w:val="0"/>
          <w:numId w:val="5"/>
        </w:numPr>
        <w:spacing w:line="300" w:lineRule="auto"/>
        <w:ind w:firstLine="420" w:firstLineChars="200"/>
        <w:rPr>
          <w:rFonts w:cs="宋体"/>
          <w:szCs w:val="21"/>
        </w:rPr>
      </w:pPr>
      <w:r>
        <w:rPr>
          <w:rFonts w:hint="eastAsia" w:cs="宋体"/>
          <w:szCs w:val="21"/>
        </w:rPr>
        <w:t>文化产品设计与开发实务</w:t>
      </w:r>
    </w:p>
    <w:p>
      <w:pPr>
        <w:numPr>
          <w:ilvl w:val="0"/>
          <w:numId w:val="5"/>
        </w:numPr>
        <w:spacing w:line="300" w:lineRule="auto"/>
        <w:ind w:firstLine="420" w:firstLineChars="200"/>
        <w:rPr>
          <w:rFonts w:cs="宋体"/>
          <w:szCs w:val="21"/>
        </w:rPr>
      </w:pPr>
      <w:r>
        <w:rPr>
          <w:rFonts w:hint="eastAsia" w:cs="宋体"/>
          <w:szCs w:val="21"/>
        </w:rPr>
        <w:t>展示设计</w:t>
      </w:r>
    </w:p>
    <w:p>
      <w:pPr>
        <w:numPr>
          <w:ilvl w:val="0"/>
          <w:numId w:val="5"/>
        </w:numPr>
        <w:spacing w:line="300" w:lineRule="auto"/>
        <w:ind w:firstLine="420" w:firstLineChars="200"/>
        <w:rPr>
          <w:rFonts w:cs="宋体"/>
          <w:szCs w:val="21"/>
        </w:rPr>
      </w:pPr>
      <w:r>
        <w:rPr>
          <w:rFonts w:hint="eastAsia" w:cs="宋体"/>
          <w:szCs w:val="21"/>
        </w:rPr>
        <w:t xml:space="preserve">广告设计 </w:t>
      </w:r>
    </w:p>
    <w:p>
      <w:pPr>
        <w:numPr>
          <w:ilvl w:val="0"/>
          <w:numId w:val="5"/>
        </w:numPr>
        <w:spacing w:line="300" w:lineRule="auto"/>
        <w:ind w:firstLine="420" w:firstLineChars="200"/>
        <w:rPr>
          <w:rFonts w:cs="宋体"/>
          <w:szCs w:val="21"/>
        </w:rPr>
      </w:pPr>
      <w:r>
        <w:rPr>
          <w:rFonts w:hint="eastAsia" w:cs="宋体"/>
          <w:szCs w:val="21"/>
        </w:rPr>
        <w:t>包装设计</w:t>
      </w:r>
    </w:p>
    <w:p>
      <w:pPr>
        <w:numPr>
          <w:ilvl w:val="0"/>
          <w:numId w:val="5"/>
        </w:numPr>
        <w:spacing w:line="300" w:lineRule="auto"/>
        <w:ind w:firstLine="420" w:firstLineChars="200"/>
        <w:rPr>
          <w:rFonts w:cs="宋体"/>
          <w:szCs w:val="21"/>
        </w:rPr>
      </w:pPr>
      <w:r>
        <w:rPr>
          <w:rFonts w:hint="eastAsia" w:cs="宋体"/>
          <w:szCs w:val="21"/>
        </w:rPr>
        <w:t>VI（企业形象视觉识别）设计</w:t>
      </w:r>
    </w:p>
    <w:p>
      <w:pPr>
        <w:numPr>
          <w:ilvl w:val="0"/>
          <w:numId w:val="5"/>
        </w:numPr>
        <w:spacing w:line="300" w:lineRule="auto"/>
        <w:ind w:firstLine="420" w:firstLineChars="200"/>
        <w:rPr>
          <w:rFonts w:cs="宋体"/>
          <w:szCs w:val="21"/>
        </w:rPr>
      </w:pPr>
      <w:r>
        <w:rPr>
          <w:rFonts w:hint="eastAsia" w:cs="宋体"/>
          <w:szCs w:val="21"/>
        </w:rPr>
        <w:t xml:space="preserve">数字媒体艺术设计   </w:t>
      </w:r>
    </w:p>
    <w:p>
      <w:pPr>
        <w:numPr>
          <w:ilvl w:val="0"/>
          <w:numId w:val="6"/>
        </w:numPr>
        <w:spacing w:line="300" w:lineRule="auto"/>
        <w:ind w:firstLine="420" w:firstLineChars="200"/>
        <w:rPr>
          <w:rFonts w:cs="宋体"/>
          <w:szCs w:val="21"/>
        </w:rPr>
      </w:pPr>
      <w:r>
        <w:rPr>
          <w:rFonts w:hint="eastAsia" w:cs="宋体"/>
          <w:szCs w:val="21"/>
        </w:rPr>
        <w:t>考核方法：根据学生完成的毕业作业成果及毕业答辩情况，综合给出成绩，按优秀、良好、中等、及格和不及格五级制评定。</w:t>
      </w:r>
    </w:p>
    <w:p>
      <w:pPr>
        <w:tabs>
          <w:tab w:val="left" w:pos="312"/>
        </w:tabs>
        <w:spacing w:line="300" w:lineRule="auto"/>
        <w:ind w:left="420"/>
        <w:rPr>
          <w:rFonts w:ascii="宋体" w:hAnsi="宋体" w:cs="宋体"/>
          <w:szCs w:val="21"/>
        </w:rPr>
      </w:pPr>
    </w:p>
    <w:p>
      <w:pPr>
        <w:spacing w:line="300" w:lineRule="auto"/>
        <w:rPr>
          <w:rFonts w:ascii="仿宋_GB2312" w:hAnsi="微软雅黑" w:eastAsia="仿宋_GB2312"/>
          <w:b/>
          <w:sz w:val="28"/>
          <w:szCs w:val="28"/>
        </w:rPr>
      </w:pPr>
      <w:bookmarkStart w:id="0" w:name="_Hlk29388167"/>
      <w:r>
        <w:rPr>
          <w:rFonts w:hint="eastAsia" w:ascii="仿宋_GB2312" w:hAnsi="微软雅黑" w:eastAsia="仿宋_GB2312"/>
          <w:b/>
          <w:sz w:val="28"/>
          <w:szCs w:val="28"/>
        </w:rPr>
        <w:t>八、“形势与政策”课说明</w:t>
      </w:r>
    </w:p>
    <w:p>
      <w:pPr>
        <w:spacing w:line="300" w:lineRule="auto"/>
        <w:ind w:firstLine="420" w:firstLineChars="200"/>
        <w:rPr>
          <w:rFonts w:cs="宋体"/>
          <w:szCs w:val="21"/>
        </w:rPr>
      </w:pPr>
      <w:r>
        <w:rPr>
          <w:rFonts w:hint="eastAsia" w:cs="宋体"/>
          <w:szCs w:val="21"/>
        </w:rPr>
        <w:t>1.“形势与政策”课由省校马克思主义学院依据教育部每学期印发的《高校“形势与政策”课教学要点》统一安排教学内容，各办学点做好具体教学运行及教学管理工作。</w:t>
      </w:r>
    </w:p>
    <w:p>
      <w:pPr>
        <w:spacing w:line="300" w:lineRule="auto"/>
        <w:ind w:firstLine="420" w:firstLineChars="200"/>
        <w:rPr>
          <w:rFonts w:cs="宋体"/>
          <w:szCs w:val="21"/>
        </w:rPr>
      </w:pPr>
      <w:r>
        <w:rPr>
          <w:rFonts w:hint="eastAsia" w:cs="宋体"/>
          <w:szCs w:val="21"/>
        </w:rPr>
        <w:t>2.“形势与政策”课每学期开课不低于8课时，共计1学分。</w:t>
      </w:r>
    </w:p>
    <w:bookmarkEnd w:id="0"/>
    <w:p>
      <w:pPr>
        <w:spacing w:line="300" w:lineRule="auto"/>
        <w:rPr>
          <w:rFonts w:ascii="宋体" w:hAnsi="宋体" w:cs="宋体"/>
          <w:szCs w:val="21"/>
        </w:rPr>
      </w:pPr>
    </w:p>
    <w:p>
      <w:pPr>
        <w:spacing w:line="300" w:lineRule="auto"/>
        <w:rPr>
          <w:rFonts w:ascii="仿宋_GB2312" w:hAnsi="微软雅黑" w:eastAsia="仿宋_GB2312"/>
          <w:b/>
          <w:sz w:val="28"/>
          <w:szCs w:val="28"/>
        </w:rPr>
      </w:pPr>
      <w:r>
        <w:rPr>
          <w:rFonts w:hint="eastAsia" w:ascii="仿宋_GB2312" w:hAnsi="微软雅黑" w:eastAsia="仿宋_GB2312"/>
          <w:b/>
          <w:sz w:val="28"/>
          <w:szCs w:val="28"/>
        </w:rPr>
        <w:t>九、教学进程表（见附件）</w:t>
      </w:r>
    </w:p>
    <w:p>
      <w:pPr>
        <w:spacing w:line="300" w:lineRule="auto"/>
        <w:rPr>
          <w:rFonts w:ascii="仿宋_GB2312" w:hAnsi="微软雅黑" w:eastAsia="仿宋_GB2312"/>
          <w:b/>
          <w:sz w:val="28"/>
          <w:szCs w:val="28"/>
        </w:rPr>
      </w:pPr>
    </w:p>
    <w:p>
      <w:pPr>
        <w:spacing w:line="300" w:lineRule="auto"/>
        <w:rPr>
          <w:rFonts w:ascii="仿宋_GB2312" w:hAnsi="微软雅黑" w:eastAsia="仿宋_GB2312"/>
          <w:b/>
          <w:sz w:val="28"/>
          <w:szCs w:val="28"/>
        </w:rPr>
      </w:pPr>
    </w:p>
    <w:p>
      <w:pPr>
        <w:spacing w:line="300" w:lineRule="auto"/>
        <w:rPr>
          <w:rFonts w:ascii="仿宋_GB2312" w:hAnsi="微软雅黑" w:eastAsia="仿宋_GB2312"/>
          <w:b/>
          <w:sz w:val="28"/>
          <w:szCs w:val="28"/>
        </w:rPr>
      </w:pPr>
      <w:r>
        <w:rPr>
          <w:rFonts w:hint="eastAsia" w:ascii="仿宋_GB2312" w:hAnsi="微软雅黑" w:eastAsia="仿宋_GB2312"/>
          <w:b/>
          <w:sz w:val="28"/>
          <w:szCs w:val="28"/>
        </w:rPr>
        <w:t xml:space="preserve">十、教学时间分配表（按周分配），如下表所示 </w:t>
      </w:r>
    </w:p>
    <w:tbl>
      <w:tblPr>
        <w:tblStyle w:val="8"/>
        <w:tblW w:w="82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7"/>
        <w:gridCol w:w="767"/>
        <w:gridCol w:w="991"/>
        <w:gridCol w:w="1700"/>
        <w:gridCol w:w="712"/>
        <w:gridCol w:w="1134"/>
        <w:gridCol w:w="707"/>
        <w:gridCol w:w="851"/>
        <w:gridCol w:w="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17" w:type="dxa"/>
            <w:vMerge w:val="restart"/>
            <w:vAlign w:val="center"/>
          </w:tcPr>
          <w:p>
            <w:pPr>
              <w:jc w:val="center"/>
              <w:rPr>
                <w:rFonts w:ascii="宋体" w:hAnsi="宋体" w:cs="宋体"/>
                <w:b/>
                <w:szCs w:val="21"/>
              </w:rPr>
            </w:pPr>
            <w:r>
              <w:rPr>
                <w:rFonts w:hint="eastAsia" w:ascii="宋体" w:hAnsi="宋体" w:cs="宋体"/>
                <w:b/>
                <w:szCs w:val="21"/>
              </w:rPr>
              <w:t>学期</w:t>
            </w:r>
          </w:p>
        </w:tc>
        <w:tc>
          <w:tcPr>
            <w:tcW w:w="767" w:type="dxa"/>
            <w:vMerge w:val="restart"/>
            <w:vAlign w:val="center"/>
          </w:tcPr>
          <w:p>
            <w:pPr>
              <w:jc w:val="center"/>
              <w:rPr>
                <w:rFonts w:ascii="宋体" w:hAnsi="宋体" w:cs="宋体"/>
                <w:b/>
                <w:szCs w:val="21"/>
              </w:rPr>
            </w:pPr>
            <w:r>
              <w:rPr>
                <w:rFonts w:hint="eastAsia" w:ascii="宋体" w:hAnsi="宋体" w:cs="宋体"/>
                <w:b/>
                <w:szCs w:val="21"/>
              </w:rPr>
              <w:t>学期周数</w:t>
            </w:r>
          </w:p>
        </w:tc>
        <w:tc>
          <w:tcPr>
            <w:tcW w:w="991" w:type="dxa"/>
            <w:vMerge w:val="restart"/>
            <w:vAlign w:val="center"/>
          </w:tcPr>
          <w:p>
            <w:pPr>
              <w:jc w:val="center"/>
              <w:rPr>
                <w:rFonts w:ascii="宋体" w:hAnsi="宋体" w:cs="宋体"/>
                <w:b/>
                <w:szCs w:val="21"/>
              </w:rPr>
            </w:pPr>
            <w:r>
              <w:rPr>
                <w:rFonts w:hint="eastAsia" w:ascii="宋体" w:hAnsi="宋体" w:cs="宋体"/>
                <w:b/>
                <w:szCs w:val="21"/>
              </w:rPr>
              <w:t>理论教学周数</w:t>
            </w:r>
          </w:p>
        </w:tc>
        <w:tc>
          <w:tcPr>
            <w:tcW w:w="2412" w:type="dxa"/>
            <w:gridSpan w:val="2"/>
            <w:vAlign w:val="center"/>
          </w:tcPr>
          <w:p>
            <w:pPr>
              <w:jc w:val="center"/>
              <w:rPr>
                <w:rFonts w:ascii="宋体" w:hAnsi="宋体" w:cs="宋体"/>
                <w:b/>
                <w:szCs w:val="21"/>
              </w:rPr>
            </w:pPr>
            <w:r>
              <w:rPr>
                <w:rFonts w:hint="eastAsia" w:ascii="宋体" w:hAnsi="宋体" w:cs="宋体"/>
                <w:b/>
                <w:szCs w:val="21"/>
              </w:rPr>
              <w:t>实训教学</w:t>
            </w:r>
          </w:p>
        </w:tc>
        <w:tc>
          <w:tcPr>
            <w:tcW w:w="1134" w:type="dxa"/>
            <w:vMerge w:val="restart"/>
            <w:vAlign w:val="center"/>
          </w:tcPr>
          <w:p>
            <w:pPr>
              <w:jc w:val="center"/>
              <w:rPr>
                <w:rFonts w:ascii="宋体" w:hAnsi="宋体" w:cs="宋体"/>
                <w:b/>
                <w:szCs w:val="21"/>
              </w:rPr>
            </w:pPr>
            <w:r>
              <w:rPr>
                <w:rFonts w:hint="eastAsia" w:ascii="宋体" w:hAnsi="宋体" w:cs="宋体"/>
                <w:b/>
                <w:szCs w:val="21"/>
              </w:rPr>
              <w:t>入学教育与军训</w:t>
            </w:r>
          </w:p>
        </w:tc>
        <w:tc>
          <w:tcPr>
            <w:tcW w:w="707" w:type="dxa"/>
            <w:vMerge w:val="restart"/>
            <w:vAlign w:val="center"/>
          </w:tcPr>
          <w:p>
            <w:pPr>
              <w:jc w:val="center"/>
              <w:rPr>
                <w:rFonts w:ascii="宋体" w:hAnsi="宋体" w:cs="宋体"/>
                <w:b/>
                <w:szCs w:val="21"/>
              </w:rPr>
            </w:pPr>
            <w:r>
              <w:rPr>
                <w:rFonts w:hint="eastAsia" w:ascii="宋体" w:hAnsi="宋体" w:cs="宋体"/>
                <w:b/>
                <w:szCs w:val="21"/>
              </w:rPr>
              <w:t>公益劳动</w:t>
            </w:r>
          </w:p>
        </w:tc>
        <w:tc>
          <w:tcPr>
            <w:tcW w:w="851" w:type="dxa"/>
            <w:vMerge w:val="restart"/>
            <w:vAlign w:val="center"/>
          </w:tcPr>
          <w:p>
            <w:pPr>
              <w:jc w:val="center"/>
              <w:rPr>
                <w:rFonts w:ascii="宋体" w:hAnsi="宋体" w:cs="宋体"/>
                <w:b/>
                <w:szCs w:val="21"/>
              </w:rPr>
            </w:pPr>
            <w:r>
              <w:rPr>
                <w:rFonts w:hint="eastAsia" w:ascii="宋体" w:hAnsi="宋体" w:cs="宋体"/>
                <w:b/>
                <w:szCs w:val="21"/>
              </w:rPr>
              <w:t>考试周数</w:t>
            </w:r>
          </w:p>
        </w:tc>
        <w:tc>
          <w:tcPr>
            <w:tcW w:w="782" w:type="dxa"/>
            <w:vMerge w:val="restart"/>
            <w:vAlign w:val="center"/>
          </w:tcPr>
          <w:p>
            <w:pPr>
              <w:jc w:val="center"/>
              <w:rPr>
                <w:rFonts w:ascii="宋体" w:hAnsi="宋体" w:cs="宋体"/>
                <w:b/>
                <w:szCs w:val="21"/>
              </w:rPr>
            </w:pPr>
            <w:r>
              <w:rPr>
                <w:rFonts w:hint="eastAsia" w:ascii="宋体" w:hAnsi="宋体" w:cs="宋体"/>
                <w:b/>
                <w:szCs w:val="21"/>
              </w:rPr>
              <w:t>机动周数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17" w:type="dxa"/>
            <w:vMerge w:val="continue"/>
            <w:vAlign w:val="center"/>
          </w:tcPr>
          <w:p>
            <w:pPr>
              <w:jc w:val="center"/>
              <w:rPr>
                <w:rFonts w:ascii="宋体" w:hAnsi="宋体" w:cs="宋体"/>
                <w:b/>
                <w:szCs w:val="21"/>
              </w:rPr>
            </w:pPr>
          </w:p>
        </w:tc>
        <w:tc>
          <w:tcPr>
            <w:tcW w:w="767" w:type="dxa"/>
            <w:vMerge w:val="continue"/>
            <w:vAlign w:val="center"/>
          </w:tcPr>
          <w:p>
            <w:pPr>
              <w:jc w:val="center"/>
              <w:rPr>
                <w:rFonts w:ascii="宋体" w:hAnsi="宋体" w:cs="宋体"/>
                <w:b/>
                <w:szCs w:val="21"/>
              </w:rPr>
            </w:pPr>
          </w:p>
        </w:tc>
        <w:tc>
          <w:tcPr>
            <w:tcW w:w="991" w:type="dxa"/>
            <w:vMerge w:val="continue"/>
            <w:vAlign w:val="center"/>
          </w:tcPr>
          <w:p>
            <w:pPr>
              <w:jc w:val="center"/>
              <w:rPr>
                <w:rFonts w:ascii="宋体" w:hAnsi="宋体" w:cs="宋体"/>
                <w:b/>
                <w:szCs w:val="21"/>
              </w:rPr>
            </w:pPr>
          </w:p>
        </w:tc>
        <w:tc>
          <w:tcPr>
            <w:tcW w:w="1700" w:type="dxa"/>
            <w:vAlign w:val="center"/>
          </w:tcPr>
          <w:p>
            <w:pPr>
              <w:jc w:val="center"/>
              <w:rPr>
                <w:rFonts w:ascii="宋体" w:hAnsi="宋体" w:cs="宋体"/>
                <w:b/>
                <w:szCs w:val="21"/>
              </w:rPr>
            </w:pPr>
            <w:r>
              <w:rPr>
                <w:rFonts w:hint="eastAsia" w:ascii="宋体" w:hAnsi="宋体" w:cs="宋体"/>
                <w:b/>
                <w:szCs w:val="21"/>
              </w:rPr>
              <w:t>内容</w:t>
            </w:r>
          </w:p>
        </w:tc>
        <w:tc>
          <w:tcPr>
            <w:tcW w:w="712" w:type="dxa"/>
            <w:vAlign w:val="center"/>
          </w:tcPr>
          <w:p>
            <w:pPr>
              <w:rPr>
                <w:rFonts w:ascii="宋体" w:hAnsi="宋体" w:cs="宋体"/>
                <w:b/>
                <w:szCs w:val="21"/>
              </w:rPr>
            </w:pPr>
            <w:r>
              <w:rPr>
                <w:rFonts w:hint="eastAsia" w:ascii="宋体" w:hAnsi="宋体" w:cs="宋体"/>
                <w:b/>
                <w:szCs w:val="21"/>
              </w:rPr>
              <w:t>周数</w:t>
            </w:r>
          </w:p>
        </w:tc>
        <w:tc>
          <w:tcPr>
            <w:tcW w:w="1134" w:type="dxa"/>
            <w:vMerge w:val="continue"/>
            <w:vAlign w:val="center"/>
          </w:tcPr>
          <w:p>
            <w:pPr>
              <w:jc w:val="center"/>
              <w:rPr>
                <w:rFonts w:ascii="宋体" w:hAnsi="宋体" w:cs="宋体"/>
                <w:b/>
                <w:szCs w:val="21"/>
              </w:rPr>
            </w:pPr>
          </w:p>
        </w:tc>
        <w:tc>
          <w:tcPr>
            <w:tcW w:w="707" w:type="dxa"/>
            <w:vMerge w:val="continue"/>
            <w:vAlign w:val="center"/>
          </w:tcPr>
          <w:p>
            <w:pPr>
              <w:jc w:val="center"/>
              <w:rPr>
                <w:rFonts w:ascii="宋体" w:hAnsi="宋体" w:cs="宋体"/>
                <w:b/>
                <w:szCs w:val="21"/>
              </w:rPr>
            </w:pPr>
          </w:p>
        </w:tc>
        <w:tc>
          <w:tcPr>
            <w:tcW w:w="851" w:type="dxa"/>
            <w:vMerge w:val="continue"/>
            <w:vAlign w:val="center"/>
          </w:tcPr>
          <w:p>
            <w:pPr>
              <w:jc w:val="center"/>
              <w:rPr>
                <w:rFonts w:ascii="宋体" w:hAnsi="宋体" w:cs="宋体"/>
                <w:b/>
                <w:szCs w:val="21"/>
              </w:rPr>
            </w:pPr>
          </w:p>
        </w:tc>
        <w:tc>
          <w:tcPr>
            <w:tcW w:w="782" w:type="dxa"/>
            <w:vMerge w:val="continue"/>
            <w:vAlign w:val="center"/>
          </w:tcPr>
          <w:p>
            <w:pPr>
              <w:jc w:val="center"/>
              <w:rPr>
                <w:rFonts w:ascii="宋体" w:hAnsi="宋体" w:cs="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17"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15</w:t>
            </w:r>
          </w:p>
        </w:tc>
        <w:tc>
          <w:tcPr>
            <w:tcW w:w="1700" w:type="dxa"/>
            <w:vAlign w:val="center"/>
          </w:tcPr>
          <w:p>
            <w:pPr>
              <w:jc w:val="center"/>
              <w:rPr>
                <w:rFonts w:ascii="宋体" w:hAnsi="宋体" w:cs="宋体"/>
                <w:szCs w:val="21"/>
              </w:rPr>
            </w:pPr>
          </w:p>
        </w:tc>
        <w:tc>
          <w:tcPr>
            <w:tcW w:w="712"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r>
              <w:rPr>
                <w:rFonts w:hint="eastAsia" w:ascii="宋体" w:hAnsi="宋体" w:cs="宋体"/>
                <w:szCs w:val="21"/>
              </w:rPr>
              <w:t>2</w:t>
            </w:r>
          </w:p>
        </w:tc>
        <w:tc>
          <w:tcPr>
            <w:tcW w:w="707" w:type="dxa"/>
            <w:vAlign w:val="center"/>
          </w:tcPr>
          <w:p>
            <w:pPr>
              <w:jc w:val="center"/>
              <w:rPr>
                <w:rFonts w:ascii="宋体" w:hAnsi="宋体" w:cs="宋体"/>
                <w:szCs w:val="21"/>
              </w:rPr>
            </w:pPr>
            <w:r>
              <w:rPr>
                <w:rFonts w:hint="eastAsia" w:ascii="宋体" w:hAnsi="宋体" w:cs="宋体"/>
                <w:szCs w:val="21"/>
              </w:rPr>
              <w:t>1</w:t>
            </w: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17" w:type="dxa"/>
            <w:vAlign w:val="center"/>
          </w:tcPr>
          <w:p>
            <w:pPr>
              <w:jc w:val="center"/>
              <w:rPr>
                <w:rFonts w:ascii="宋体" w:hAnsi="宋体" w:cs="宋体"/>
                <w:szCs w:val="21"/>
              </w:rPr>
            </w:pPr>
            <w:r>
              <w:rPr>
                <w:rFonts w:hint="eastAsia" w:ascii="宋体" w:hAnsi="宋体" w:cs="宋体"/>
                <w:szCs w:val="21"/>
              </w:rPr>
              <w:t>二</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17</w:t>
            </w:r>
          </w:p>
        </w:tc>
        <w:tc>
          <w:tcPr>
            <w:tcW w:w="1700" w:type="dxa"/>
            <w:vAlign w:val="center"/>
          </w:tcPr>
          <w:p>
            <w:pPr>
              <w:jc w:val="center"/>
              <w:rPr>
                <w:rFonts w:ascii="宋体" w:hAnsi="宋体" w:cs="宋体"/>
                <w:szCs w:val="21"/>
              </w:rPr>
            </w:pPr>
          </w:p>
        </w:tc>
        <w:tc>
          <w:tcPr>
            <w:tcW w:w="712"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r>
              <w:rPr>
                <w:rFonts w:hint="eastAsia" w:ascii="宋体" w:hAnsi="宋体" w:cs="宋体"/>
                <w:szCs w:val="21"/>
              </w:rPr>
              <w:t>1</w:t>
            </w: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17" w:type="dxa"/>
            <w:vAlign w:val="center"/>
          </w:tcPr>
          <w:p>
            <w:pPr>
              <w:jc w:val="center"/>
              <w:rPr>
                <w:rFonts w:ascii="宋体" w:hAnsi="宋体" w:cs="宋体"/>
                <w:szCs w:val="21"/>
              </w:rPr>
            </w:pPr>
            <w:r>
              <w:rPr>
                <w:rFonts w:hint="eastAsia" w:ascii="宋体" w:hAnsi="宋体" w:cs="宋体"/>
                <w:szCs w:val="21"/>
              </w:rPr>
              <w:t>三</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18</w:t>
            </w:r>
          </w:p>
        </w:tc>
        <w:tc>
          <w:tcPr>
            <w:tcW w:w="1700" w:type="dxa"/>
            <w:vAlign w:val="center"/>
          </w:tcPr>
          <w:p>
            <w:pPr>
              <w:jc w:val="center"/>
              <w:rPr>
                <w:rFonts w:ascii="宋体" w:hAnsi="宋体" w:cs="宋体"/>
                <w:szCs w:val="21"/>
              </w:rPr>
            </w:pPr>
          </w:p>
        </w:tc>
        <w:tc>
          <w:tcPr>
            <w:tcW w:w="712"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617" w:type="dxa"/>
            <w:vAlign w:val="center"/>
          </w:tcPr>
          <w:p>
            <w:pPr>
              <w:jc w:val="center"/>
              <w:rPr>
                <w:rFonts w:ascii="宋体" w:hAnsi="宋体" w:cs="宋体"/>
                <w:szCs w:val="21"/>
              </w:rPr>
            </w:pPr>
            <w:r>
              <w:rPr>
                <w:rFonts w:hint="eastAsia" w:ascii="宋体" w:hAnsi="宋体" w:cs="宋体"/>
                <w:szCs w:val="21"/>
              </w:rPr>
              <w:t>四</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17</w:t>
            </w:r>
          </w:p>
        </w:tc>
        <w:tc>
          <w:tcPr>
            <w:tcW w:w="1700" w:type="dxa"/>
            <w:vAlign w:val="center"/>
          </w:tcPr>
          <w:p>
            <w:pPr>
              <w:jc w:val="center"/>
              <w:rPr>
                <w:rFonts w:ascii="宋体" w:hAnsi="宋体" w:cs="宋体"/>
                <w:szCs w:val="21"/>
              </w:rPr>
            </w:pPr>
            <w:r>
              <w:rPr>
                <w:rFonts w:hint="eastAsia" w:ascii="宋体" w:hAnsi="宋体" w:cs="宋体"/>
                <w:szCs w:val="21"/>
              </w:rPr>
              <w:t>专业采风</w:t>
            </w:r>
          </w:p>
        </w:tc>
        <w:tc>
          <w:tcPr>
            <w:tcW w:w="712" w:type="dxa"/>
            <w:vAlign w:val="center"/>
          </w:tcPr>
          <w:p>
            <w:pPr>
              <w:jc w:val="center"/>
              <w:rPr>
                <w:rFonts w:ascii="宋体" w:hAnsi="宋体" w:cs="宋体"/>
                <w:szCs w:val="21"/>
              </w:rPr>
            </w:pPr>
            <w:r>
              <w:rPr>
                <w:rFonts w:hint="eastAsia" w:ascii="宋体" w:hAnsi="宋体" w:cs="宋体"/>
                <w:szCs w:val="21"/>
              </w:rPr>
              <w:t>1</w:t>
            </w: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trPr>
        <w:tc>
          <w:tcPr>
            <w:tcW w:w="617" w:type="dxa"/>
            <w:vAlign w:val="center"/>
          </w:tcPr>
          <w:p>
            <w:pPr>
              <w:jc w:val="center"/>
              <w:rPr>
                <w:rFonts w:ascii="宋体" w:hAnsi="宋体" w:cs="宋体"/>
                <w:szCs w:val="21"/>
              </w:rPr>
            </w:pPr>
            <w:r>
              <w:rPr>
                <w:rFonts w:hint="eastAsia" w:ascii="宋体" w:hAnsi="宋体" w:cs="宋体"/>
                <w:szCs w:val="21"/>
              </w:rPr>
              <w:t>五</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18</w:t>
            </w:r>
          </w:p>
        </w:tc>
        <w:tc>
          <w:tcPr>
            <w:tcW w:w="1700" w:type="dxa"/>
            <w:vAlign w:val="center"/>
          </w:tcPr>
          <w:p>
            <w:pPr>
              <w:jc w:val="center"/>
              <w:rPr>
                <w:rFonts w:ascii="宋体" w:hAnsi="宋体" w:cs="宋体"/>
                <w:szCs w:val="21"/>
              </w:rPr>
            </w:pPr>
          </w:p>
        </w:tc>
        <w:tc>
          <w:tcPr>
            <w:tcW w:w="712" w:type="dxa"/>
            <w:vAlign w:val="center"/>
          </w:tcPr>
          <w:p>
            <w:pPr>
              <w:jc w:val="center"/>
              <w:rPr>
                <w:rFonts w:ascii="宋体" w:hAnsi="宋体" w:cs="宋体"/>
                <w:szCs w:val="21"/>
              </w:rPr>
            </w:pP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617" w:type="dxa"/>
            <w:vAlign w:val="center"/>
          </w:tcPr>
          <w:p>
            <w:pPr>
              <w:jc w:val="center"/>
              <w:rPr>
                <w:rFonts w:ascii="宋体" w:hAnsi="宋体" w:cs="宋体"/>
                <w:szCs w:val="21"/>
              </w:rPr>
            </w:pPr>
            <w:r>
              <w:rPr>
                <w:rFonts w:hint="eastAsia" w:ascii="宋体" w:hAnsi="宋体" w:cs="宋体"/>
                <w:szCs w:val="21"/>
              </w:rPr>
              <w:t>六</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16</w:t>
            </w:r>
          </w:p>
        </w:tc>
        <w:tc>
          <w:tcPr>
            <w:tcW w:w="1700" w:type="dxa"/>
            <w:vAlign w:val="center"/>
          </w:tcPr>
          <w:p>
            <w:pPr>
              <w:jc w:val="center"/>
              <w:rPr>
                <w:rFonts w:ascii="宋体" w:hAnsi="宋体" w:cs="宋体"/>
                <w:szCs w:val="21"/>
              </w:rPr>
            </w:pPr>
            <w:r>
              <w:rPr>
                <w:rFonts w:hint="eastAsia" w:ascii="宋体" w:hAnsi="宋体" w:cs="宋体"/>
                <w:szCs w:val="21"/>
              </w:rPr>
              <w:t>专业考察、非遗项目实训</w:t>
            </w:r>
          </w:p>
        </w:tc>
        <w:tc>
          <w:tcPr>
            <w:tcW w:w="712" w:type="dxa"/>
            <w:vAlign w:val="center"/>
          </w:tcPr>
          <w:p>
            <w:pPr>
              <w:jc w:val="center"/>
              <w:rPr>
                <w:rFonts w:ascii="宋体" w:hAnsi="宋体" w:cs="宋体"/>
                <w:szCs w:val="21"/>
              </w:rPr>
            </w:pPr>
            <w:r>
              <w:rPr>
                <w:rFonts w:hint="eastAsia" w:ascii="宋体" w:hAnsi="宋体" w:cs="宋体"/>
                <w:szCs w:val="21"/>
              </w:rPr>
              <w:t>2</w:t>
            </w: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exact"/>
        </w:trPr>
        <w:tc>
          <w:tcPr>
            <w:tcW w:w="617" w:type="dxa"/>
            <w:vAlign w:val="center"/>
          </w:tcPr>
          <w:p>
            <w:pPr>
              <w:jc w:val="center"/>
              <w:rPr>
                <w:rFonts w:ascii="宋体" w:hAnsi="宋体" w:cs="宋体"/>
                <w:szCs w:val="21"/>
              </w:rPr>
            </w:pPr>
            <w:r>
              <w:rPr>
                <w:rFonts w:hint="eastAsia" w:ascii="宋体" w:hAnsi="宋体" w:cs="宋体"/>
                <w:szCs w:val="21"/>
              </w:rPr>
              <w:t>七</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15</w:t>
            </w:r>
          </w:p>
        </w:tc>
        <w:tc>
          <w:tcPr>
            <w:tcW w:w="1700" w:type="dxa"/>
            <w:vAlign w:val="center"/>
          </w:tcPr>
          <w:p>
            <w:pPr>
              <w:jc w:val="center"/>
              <w:rPr>
                <w:rFonts w:ascii="宋体" w:hAnsi="宋体" w:cs="宋体"/>
                <w:szCs w:val="21"/>
              </w:rPr>
            </w:pPr>
            <w:r>
              <w:rPr>
                <w:rFonts w:hint="eastAsia" w:ascii="宋体" w:hAnsi="宋体" w:cs="宋体"/>
                <w:szCs w:val="21"/>
              </w:rPr>
              <w:t>展示设计实训</w:t>
            </w:r>
          </w:p>
        </w:tc>
        <w:tc>
          <w:tcPr>
            <w:tcW w:w="712" w:type="dxa"/>
            <w:vAlign w:val="center"/>
          </w:tcPr>
          <w:p>
            <w:pPr>
              <w:jc w:val="center"/>
              <w:rPr>
                <w:rFonts w:ascii="宋体" w:hAnsi="宋体" w:cs="宋体"/>
                <w:szCs w:val="21"/>
              </w:rPr>
            </w:pPr>
            <w:r>
              <w:rPr>
                <w:rFonts w:hint="eastAsia" w:ascii="宋体" w:hAnsi="宋体" w:cs="宋体"/>
                <w:szCs w:val="21"/>
              </w:rPr>
              <w:t>3</w:t>
            </w: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exact"/>
        </w:trPr>
        <w:tc>
          <w:tcPr>
            <w:tcW w:w="617" w:type="dxa"/>
            <w:vAlign w:val="center"/>
          </w:tcPr>
          <w:p>
            <w:pPr>
              <w:jc w:val="center"/>
              <w:rPr>
                <w:rFonts w:ascii="宋体" w:hAnsi="宋体" w:cs="宋体"/>
                <w:szCs w:val="21"/>
              </w:rPr>
            </w:pPr>
            <w:r>
              <w:rPr>
                <w:rFonts w:hint="eastAsia" w:ascii="宋体" w:hAnsi="宋体" w:cs="宋体"/>
                <w:szCs w:val="21"/>
              </w:rPr>
              <w:t>八</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11</w:t>
            </w:r>
          </w:p>
        </w:tc>
        <w:tc>
          <w:tcPr>
            <w:tcW w:w="1700" w:type="dxa"/>
            <w:vAlign w:val="center"/>
          </w:tcPr>
          <w:p>
            <w:pPr>
              <w:jc w:val="center"/>
              <w:rPr>
                <w:rFonts w:ascii="宋体" w:hAnsi="宋体" w:cs="宋体"/>
                <w:szCs w:val="21"/>
              </w:rPr>
            </w:pPr>
            <w:r>
              <w:rPr>
                <w:rFonts w:hint="eastAsia" w:ascii="宋体" w:hAnsi="宋体" w:cs="宋体"/>
                <w:szCs w:val="21"/>
              </w:rPr>
              <w:t>装饰材料实训、文化产品设计实训</w:t>
            </w:r>
          </w:p>
        </w:tc>
        <w:tc>
          <w:tcPr>
            <w:tcW w:w="712" w:type="dxa"/>
            <w:vAlign w:val="center"/>
          </w:tcPr>
          <w:p>
            <w:pPr>
              <w:jc w:val="center"/>
              <w:rPr>
                <w:rFonts w:ascii="宋体" w:hAnsi="宋体" w:cs="宋体"/>
                <w:szCs w:val="21"/>
              </w:rPr>
            </w:pPr>
            <w:r>
              <w:rPr>
                <w:rFonts w:hint="eastAsia" w:ascii="宋体" w:hAnsi="宋体" w:cs="宋体"/>
                <w:szCs w:val="21"/>
              </w:rPr>
              <w:t>7</w:t>
            </w: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exact"/>
        </w:trPr>
        <w:tc>
          <w:tcPr>
            <w:tcW w:w="617" w:type="dxa"/>
            <w:vAlign w:val="center"/>
          </w:tcPr>
          <w:p>
            <w:pPr>
              <w:jc w:val="center"/>
              <w:rPr>
                <w:rFonts w:ascii="宋体" w:hAnsi="宋体" w:cs="宋体"/>
                <w:szCs w:val="21"/>
              </w:rPr>
            </w:pPr>
            <w:r>
              <w:rPr>
                <w:rFonts w:hint="eastAsia" w:ascii="宋体" w:hAnsi="宋体" w:cs="宋体"/>
                <w:szCs w:val="21"/>
              </w:rPr>
              <w:t>九</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6</w:t>
            </w:r>
          </w:p>
        </w:tc>
        <w:tc>
          <w:tcPr>
            <w:tcW w:w="1700" w:type="dxa"/>
            <w:vAlign w:val="center"/>
          </w:tcPr>
          <w:p>
            <w:pPr>
              <w:jc w:val="center"/>
              <w:rPr>
                <w:rFonts w:ascii="宋体" w:hAnsi="宋体" w:cs="宋体"/>
                <w:szCs w:val="21"/>
              </w:rPr>
            </w:pPr>
            <w:r>
              <w:rPr>
                <w:rFonts w:hint="eastAsia" w:ascii="宋体" w:hAnsi="宋体" w:cs="宋体"/>
                <w:szCs w:val="21"/>
              </w:rPr>
              <w:t>广告设计实训</w:t>
            </w:r>
          </w:p>
          <w:p>
            <w:pPr>
              <w:jc w:val="center"/>
              <w:rPr>
                <w:rFonts w:ascii="宋体" w:hAnsi="宋体" w:cs="宋体"/>
                <w:szCs w:val="21"/>
              </w:rPr>
            </w:pPr>
            <w:r>
              <w:rPr>
                <w:rFonts w:hint="eastAsia" w:ascii="宋体" w:hAnsi="宋体" w:cs="宋体"/>
                <w:szCs w:val="21"/>
              </w:rPr>
              <w:t>毕业设计</w:t>
            </w:r>
          </w:p>
        </w:tc>
        <w:tc>
          <w:tcPr>
            <w:tcW w:w="712" w:type="dxa"/>
            <w:vAlign w:val="center"/>
          </w:tcPr>
          <w:p>
            <w:pPr>
              <w:jc w:val="center"/>
              <w:rPr>
                <w:rFonts w:ascii="宋体" w:hAnsi="宋体" w:cs="宋体"/>
                <w:szCs w:val="21"/>
              </w:rPr>
            </w:pPr>
            <w:r>
              <w:rPr>
                <w:rFonts w:hint="eastAsia" w:ascii="宋体" w:hAnsi="宋体" w:cs="宋体"/>
                <w:szCs w:val="21"/>
              </w:rPr>
              <w:t>12</w:t>
            </w: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r>
              <w:rPr>
                <w:rFonts w:hint="eastAsia" w:ascii="宋体" w:hAnsi="宋体" w:cs="宋体"/>
                <w:szCs w:val="21"/>
              </w:rPr>
              <w:t>1</w:t>
            </w:r>
          </w:p>
        </w:tc>
        <w:tc>
          <w:tcPr>
            <w:tcW w:w="782" w:type="dxa"/>
            <w:vAlign w:val="center"/>
          </w:tcPr>
          <w:p>
            <w:pPr>
              <w:jc w:val="center"/>
              <w:rPr>
                <w:rFonts w:ascii="宋体" w:hAnsi="宋体" w:cs="宋体"/>
                <w:szCs w:val="21"/>
              </w:rPr>
            </w:pPr>
            <w:r>
              <w:rPr>
                <w:rFonts w:hint="eastAsia" w:ascii="宋体" w:hAnsi="宋体" w:cs="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exact"/>
        </w:trPr>
        <w:tc>
          <w:tcPr>
            <w:tcW w:w="617" w:type="dxa"/>
            <w:vAlign w:val="center"/>
          </w:tcPr>
          <w:p>
            <w:pPr>
              <w:jc w:val="center"/>
              <w:rPr>
                <w:rFonts w:ascii="宋体" w:hAnsi="宋体" w:cs="宋体"/>
                <w:szCs w:val="21"/>
              </w:rPr>
            </w:pPr>
            <w:r>
              <w:rPr>
                <w:rFonts w:hint="eastAsia" w:ascii="宋体" w:hAnsi="宋体" w:cs="宋体"/>
                <w:szCs w:val="21"/>
              </w:rPr>
              <w:t>十</w:t>
            </w:r>
          </w:p>
        </w:tc>
        <w:tc>
          <w:tcPr>
            <w:tcW w:w="767" w:type="dxa"/>
            <w:vAlign w:val="center"/>
          </w:tcPr>
          <w:p>
            <w:pPr>
              <w:jc w:val="center"/>
              <w:rPr>
                <w:rFonts w:ascii="宋体" w:hAnsi="宋体" w:cs="宋体"/>
                <w:szCs w:val="21"/>
              </w:rPr>
            </w:pPr>
            <w:r>
              <w:rPr>
                <w:rFonts w:hint="eastAsia" w:ascii="宋体" w:hAnsi="宋体" w:cs="宋体"/>
                <w:szCs w:val="21"/>
              </w:rPr>
              <w:t>20</w:t>
            </w:r>
          </w:p>
        </w:tc>
        <w:tc>
          <w:tcPr>
            <w:tcW w:w="991" w:type="dxa"/>
            <w:vAlign w:val="center"/>
          </w:tcPr>
          <w:p>
            <w:pPr>
              <w:jc w:val="center"/>
              <w:rPr>
                <w:rFonts w:ascii="宋体" w:hAnsi="宋体" w:cs="宋体"/>
                <w:szCs w:val="21"/>
              </w:rPr>
            </w:pPr>
            <w:r>
              <w:rPr>
                <w:rFonts w:hint="eastAsia" w:ascii="宋体" w:hAnsi="宋体" w:cs="宋体"/>
                <w:szCs w:val="21"/>
              </w:rPr>
              <w:t>0</w:t>
            </w:r>
          </w:p>
        </w:tc>
        <w:tc>
          <w:tcPr>
            <w:tcW w:w="1700" w:type="dxa"/>
            <w:vAlign w:val="center"/>
          </w:tcPr>
          <w:p>
            <w:pPr>
              <w:jc w:val="center"/>
              <w:rPr>
                <w:rFonts w:ascii="宋体" w:hAnsi="宋体" w:cs="宋体"/>
                <w:szCs w:val="21"/>
              </w:rPr>
            </w:pPr>
            <w:r>
              <w:rPr>
                <w:rFonts w:hint="eastAsia" w:ascii="宋体" w:hAnsi="宋体" w:cs="宋体"/>
                <w:szCs w:val="21"/>
              </w:rPr>
              <w:t>顶岗实习</w:t>
            </w:r>
          </w:p>
        </w:tc>
        <w:tc>
          <w:tcPr>
            <w:tcW w:w="712" w:type="dxa"/>
            <w:vAlign w:val="center"/>
          </w:tcPr>
          <w:p>
            <w:pPr>
              <w:jc w:val="center"/>
              <w:rPr>
                <w:rFonts w:ascii="宋体" w:hAnsi="宋体" w:cs="宋体"/>
                <w:szCs w:val="21"/>
              </w:rPr>
            </w:pPr>
            <w:r>
              <w:rPr>
                <w:rFonts w:hint="eastAsia" w:ascii="宋体" w:hAnsi="宋体" w:cs="宋体"/>
                <w:szCs w:val="21"/>
              </w:rPr>
              <w:t>14</w:t>
            </w:r>
          </w:p>
        </w:tc>
        <w:tc>
          <w:tcPr>
            <w:tcW w:w="1134" w:type="dxa"/>
            <w:vAlign w:val="center"/>
          </w:tcPr>
          <w:p>
            <w:pPr>
              <w:jc w:val="center"/>
              <w:rPr>
                <w:rFonts w:ascii="宋体" w:hAnsi="宋体" w:cs="宋体"/>
                <w:szCs w:val="21"/>
              </w:rPr>
            </w:pPr>
          </w:p>
        </w:tc>
        <w:tc>
          <w:tcPr>
            <w:tcW w:w="707" w:type="dxa"/>
            <w:vAlign w:val="center"/>
          </w:tcPr>
          <w:p>
            <w:pPr>
              <w:jc w:val="center"/>
              <w:rPr>
                <w:rFonts w:ascii="宋体" w:hAnsi="宋体" w:cs="宋体"/>
                <w:szCs w:val="21"/>
              </w:rPr>
            </w:pPr>
          </w:p>
        </w:tc>
        <w:tc>
          <w:tcPr>
            <w:tcW w:w="851" w:type="dxa"/>
            <w:vAlign w:val="center"/>
          </w:tcPr>
          <w:p>
            <w:pPr>
              <w:jc w:val="center"/>
              <w:rPr>
                <w:rFonts w:ascii="宋体" w:hAnsi="宋体" w:cs="宋体"/>
                <w:szCs w:val="21"/>
              </w:rPr>
            </w:pPr>
          </w:p>
        </w:tc>
        <w:tc>
          <w:tcPr>
            <w:tcW w:w="782" w:type="dxa"/>
            <w:vAlign w:val="center"/>
          </w:tcPr>
          <w:p>
            <w:pPr>
              <w:jc w:val="center"/>
              <w:rPr>
                <w:rFonts w:ascii="宋体" w:hAnsi="宋体" w:cs="宋体"/>
                <w:szCs w:val="21"/>
              </w:rPr>
            </w:pPr>
            <w:r>
              <w:rPr>
                <w:rFonts w:hint="eastAsia" w:ascii="宋体" w:hAnsi="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trPr>
        <w:tc>
          <w:tcPr>
            <w:tcW w:w="617" w:type="dxa"/>
            <w:vAlign w:val="center"/>
          </w:tcPr>
          <w:p>
            <w:pPr>
              <w:jc w:val="center"/>
              <w:rPr>
                <w:rFonts w:ascii="宋体" w:hAnsi="宋体" w:cs="宋体"/>
                <w:szCs w:val="21"/>
              </w:rPr>
            </w:pPr>
            <w:r>
              <w:rPr>
                <w:rFonts w:hint="eastAsia" w:ascii="宋体" w:hAnsi="宋体" w:cs="宋体"/>
                <w:szCs w:val="21"/>
              </w:rPr>
              <w:t>总计</w:t>
            </w:r>
          </w:p>
        </w:tc>
        <w:tc>
          <w:tcPr>
            <w:tcW w:w="767" w:type="dxa"/>
            <w:vAlign w:val="center"/>
          </w:tcPr>
          <w:p>
            <w:pPr>
              <w:jc w:val="center"/>
              <w:rPr>
                <w:rFonts w:ascii="宋体" w:hAnsi="宋体" w:cs="宋体"/>
                <w:szCs w:val="21"/>
              </w:rPr>
            </w:pPr>
            <w:r>
              <w:rPr>
                <w:rFonts w:hint="eastAsia" w:ascii="宋体" w:hAnsi="宋体" w:cs="宋体"/>
                <w:szCs w:val="21"/>
              </w:rPr>
              <w:t>200</w:t>
            </w:r>
          </w:p>
        </w:tc>
        <w:tc>
          <w:tcPr>
            <w:tcW w:w="991" w:type="dxa"/>
            <w:vAlign w:val="center"/>
          </w:tcPr>
          <w:p>
            <w:pPr>
              <w:jc w:val="center"/>
              <w:rPr>
                <w:rFonts w:ascii="宋体" w:hAnsi="宋体" w:cs="宋体"/>
                <w:szCs w:val="21"/>
              </w:rPr>
            </w:pPr>
            <w:r>
              <w:rPr>
                <w:rFonts w:hint="eastAsia" w:ascii="宋体" w:hAnsi="宋体" w:cs="宋体"/>
                <w:szCs w:val="21"/>
              </w:rPr>
              <w:t>135</w:t>
            </w:r>
          </w:p>
        </w:tc>
        <w:tc>
          <w:tcPr>
            <w:tcW w:w="1700" w:type="dxa"/>
            <w:vAlign w:val="center"/>
          </w:tcPr>
          <w:p>
            <w:pPr>
              <w:jc w:val="center"/>
              <w:rPr>
                <w:rFonts w:ascii="宋体" w:hAnsi="宋体" w:cs="宋体"/>
                <w:szCs w:val="21"/>
              </w:rPr>
            </w:pPr>
          </w:p>
        </w:tc>
        <w:tc>
          <w:tcPr>
            <w:tcW w:w="712" w:type="dxa"/>
            <w:vAlign w:val="center"/>
          </w:tcPr>
          <w:p>
            <w:pPr>
              <w:jc w:val="center"/>
              <w:rPr>
                <w:rFonts w:ascii="宋体" w:hAnsi="宋体" w:cs="宋体"/>
                <w:szCs w:val="21"/>
              </w:rPr>
            </w:pPr>
            <w:r>
              <w:rPr>
                <w:rFonts w:hint="eastAsia" w:ascii="宋体" w:hAnsi="宋体" w:cs="宋体"/>
                <w:szCs w:val="21"/>
              </w:rPr>
              <w:t>37</w:t>
            </w:r>
          </w:p>
        </w:tc>
        <w:tc>
          <w:tcPr>
            <w:tcW w:w="1134" w:type="dxa"/>
            <w:vAlign w:val="center"/>
          </w:tcPr>
          <w:p>
            <w:pPr>
              <w:jc w:val="center"/>
              <w:rPr>
                <w:rFonts w:ascii="宋体" w:hAnsi="宋体" w:cs="宋体"/>
                <w:szCs w:val="21"/>
              </w:rPr>
            </w:pPr>
            <w:r>
              <w:rPr>
                <w:rFonts w:hint="eastAsia" w:ascii="宋体" w:hAnsi="宋体" w:cs="宋体"/>
                <w:szCs w:val="21"/>
              </w:rPr>
              <w:t>2</w:t>
            </w:r>
          </w:p>
        </w:tc>
        <w:tc>
          <w:tcPr>
            <w:tcW w:w="707" w:type="dxa"/>
            <w:vAlign w:val="center"/>
          </w:tcPr>
          <w:p>
            <w:pPr>
              <w:jc w:val="center"/>
              <w:rPr>
                <w:rFonts w:ascii="宋体" w:hAnsi="宋体" w:cs="宋体"/>
                <w:szCs w:val="21"/>
              </w:rPr>
            </w:pPr>
            <w:r>
              <w:rPr>
                <w:rFonts w:hint="eastAsia" w:ascii="宋体" w:hAnsi="宋体" w:cs="宋体"/>
                <w:szCs w:val="21"/>
              </w:rPr>
              <w:t>2</w:t>
            </w:r>
          </w:p>
        </w:tc>
        <w:tc>
          <w:tcPr>
            <w:tcW w:w="851" w:type="dxa"/>
            <w:vAlign w:val="center"/>
          </w:tcPr>
          <w:p>
            <w:pPr>
              <w:jc w:val="center"/>
              <w:rPr>
                <w:rFonts w:ascii="宋体" w:hAnsi="宋体" w:cs="宋体"/>
                <w:szCs w:val="21"/>
              </w:rPr>
            </w:pPr>
            <w:r>
              <w:rPr>
                <w:rFonts w:hint="eastAsia" w:ascii="宋体" w:hAnsi="宋体" w:cs="宋体"/>
                <w:szCs w:val="21"/>
              </w:rPr>
              <w:t>9</w:t>
            </w:r>
          </w:p>
        </w:tc>
        <w:tc>
          <w:tcPr>
            <w:tcW w:w="782" w:type="dxa"/>
            <w:vAlign w:val="center"/>
          </w:tcPr>
          <w:p>
            <w:pPr>
              <w:jc w:val="center"/>
              <w:rPr>
                <w:rFonts w:ascii="宋体" w:hAnsi="宋体" w:cs="宋体"/>
                <w:szCs w:val="21"/>
              </w:rPr>
            </w:pPr>
            <w:r>
              <w:rPr>
                <w:rFonts w:hint="eastAsia" w:ascii="宋体" w:hAnsi="宋体" w:cs="宋体"/>
                <w:szCs w:val="21"/>
              </w:rPr>
              <w:t>15</w:t>
            </w:r>
          </w:p>
        </w:tc>
      </w:tr>
    </w:tbl>
    <w:p>
      <w:pPr>
        <w:spacing w:line="300" w:lineRule="auto"/>
        <w:rPr>
          <w:rFonts w:ascii="仿宋_GB2312" w:hAnsi="微软雅黑" w:eastAsia="仿宋_GB2312"/>
          <w:b/>
          <w:sz w:val="28"/>
          <w:szCs w:val="28"/>
        </w:rPr>
      </w:pPr>
    </w:p>
    <w:p>
      <w:pPr>
        <w:spacing w:line="300" w:lineRule="auto"/>
        <w:rPr>
          <w:rFonts w:ascii="仿宋_GB2312" w:hAnsi="微软雅黑" w:eastAsia="仿宋_GB2312"/>
          <w:b/>
          <w:sz w:val="28"/>
          <w:szCs w:val="28"/>
        </w:rPr>
      </w:pPr>
      <w:r>
        <w:rPr>
          <w:rFonts w:hint="eastAsia" w:ascii="仿宋_GB2312" w:hAnsi="微软雅黑" w:eastAsia="仿宋_GB2312"/>
          <w:b/>
          <w:sz w:val="28"/>
          <w:szCs w:val="28"/>
        </w:rPr>
        <w:t>十一、专业教师任职资格</w:t>
      </w:r>
    </w:p>
    <w:p>
      <w:pPr>
        <w:spacing w:line="300" w:lineRule="auto"/>
        <w:ind w:firstLine="422" w:firstLineChars="200"/>
        <w:rPr>
          <w:rFonts w:cs="宋体"/>
          <w:b/>
          <w:bCs/>
          <w:szCs w:val="21"/>
        </w:rPr>
      </w:pPr>
      <w:r>
        <w:rPr>
          <w:rFonts w:hint="eastAsia" w:cs="宋体"/>
          <w:b/>
          <w:szCs w:val="21"/>
        </w:rPr>
        <w:t>1、</w:t>
      </w:r>
      <w:r>
        <w:rPr>
          <w:rFonts w:hint="eastAsia" w:cs="宋体"/>
          <w:b/>
          <w:bCs/>
          <w:szCs w:val="21"/>
        </w:rPr>
        <w:t>专任专业教师任职资格</w:t>
      </w:r>
    </w:p>
    <w:p>
      <w:pPr>
        <w:spacing w:line="300" w:lineRule="auto"/>
        <w:ind w:firstLine="420" w:firstLineChars="200"/>
        <w:rPr>
          <w:rFonts w:cs="宋体"/>
          <w:bCs/>
          <w:szCs w:val="21"/>
        </w:rPr>
      </w:pPr>
      <w:r>
        <w:rPr>
          <w:rFonts w:hint="eastAsia" w:cs="宋体"/>
          <w:bCs/>
          <w:szCs w:val="21"/>
        </w:rPr>
        <w:t>（1）取得教师职业资格证。</w:t>
      </w:r>
    </w:p>
    <w:p>
      <w:pPr>
        <w:spacing w:line="300" w:lineRule="auto"/>
        <w:ind w:firstLine="420" w:firstLineChars="200"/>
        <w:rPr>
          <w:rFonts w:cs="宋体"/>
          <w:bCs/>
          <w:szCs w:val="21"/>
        </w:rPr>
      </w:pPr>
      <w:r>
        <w:rPr>
          <w:rFonts w:hint="eastAsia" w:cs="宋体"/>
          <w:bCs/>
          <w:szCs w:val="21"/>
        </w:rPr>
        <w:t>（2）具有艺术类专业本科及以上学历。</w:t>
      </w:r>
    </w:p>
    <w:p>
      <w:pPr>
        <w:spacing w:line="300" w:lineRule="auto"/>
        <w:ind w:firstLine="420" w:firstLineChars="200"/>
        <w:rPr>
          <w:rFonts w:cs="宋体"/>
          <w:bCs/>
          <w:szCs w:val="21"/>
        </w:rPr>
      </w:pPr>
      <w:r>
        <w:rPr>
          <w:rFonts w:hint="eastAsia" w:cs="宋体"/>
          <w:bCs/>
          <w:szCs w:val="21"/>
        </w:rPr>
        <w:t>（3）具有良好的思想政治素质和职业道德，具备认真履行教师岗位职责的能力和水平，遵守教师职业道德规范。</w:t>
      </w:r>
    </w:p>
    <w:p>
      <w:pPr>
        <w:spacing w:line="300" w:lineRule="auto"/>
        <w:ind w:firstLine="420" w:firstLineChars="200"/>
        <w:rPr>
          <w:rFonts w:cs="宋体"/>
          <w:bCs/>
          <w:szCs w:val="21"/>
        </w:rPr>
      </w:pPr>
      <w:r>
        <w:rPr>
          <w:rFonts w:hint="eastAsia" w:cs="宋体"/>
          <w:bCs/>
          <w:szCs w:val="21"/>
        </w:rPr>
        <w:t>（4）在企事业单位工作2年以上或到企业或生产服务一线实践累计6个月以上，取得相关职业资格证书或非教师系列专业技术中级以上职称。</w:t>
      </w:r>
    </w:p>
    <w:p>
      <w:pPr>
        <w:tabs>
          <w:tab w:val="left" w:pos="6135"/>
        </w:tabs>
        <w:spacing w:line="300" w:lineRule="auto"/>
        <w:ind w:firstLine="420" w:firstLineChars="200"/>
        <w:rPr>
          <w:rFonts w:cs="宋体"/>
          <w:bCs/>
          <w:szCs w:val="21"/>
        </w:rPr>
      </w:pPr>
    </w:p>
    <w:p>
      <w:pPr>
        <w:tabs>
          <w:tab w:val="left" w:pos="6135"/>
        </w:tabs>
        <w:spacing w:line="300" w:lineRule="auto"/>
        <w:ind w:firstLine="420" w:firstLineChars="200"/>
        <w:rPr>
          <w:rFonts w:cs="宋体"/>
          <w:bCs/>
          <w:szCs w:val="21"/>
        </w:rPr>
      </w:pPr>
      <w:r>
        <w:rPr>
          <w:rFonts w:hint="eastAsia" w:cs="宋体"/>
          <w:bCs/>
          <w:szCs w:val="21"/>
        </w:rPr>
        <w:tab/>
      </w:r>
    </w:p>
    <w:p>
      <w:pPr>
        <w:spacing w:line="300" w:lineRule="auto"/>
        <w:ind w:firstLine="422" w:firstLineChars="200"/>
        <w:rPr>
          <w:rFonts w:cs="宋体"/>
          <w:bCs/>
          <w:szCs w:val="21"/>
        </w:rPr>
      </w:pPr>
      <w:r>
        <w:rPr>
          <w:rFonts w:hint="eastAsia" w:cs="宋体"/>
          <w:b/>
          <w:bCs/>
          <w:szCs w:val="21"/>
        </w:rPr>
        <w:t>2、专业兼职教师任职资格</w:t>
      </w:r>
    </w:p>
    <w:p>
      <w:pPr>
        <w:spacing w:line="300" w:lineRule="auto"/>
        <w:ind w:firstLine="420" w:firstLineChars="200"/>
        <w:rPr>
          <w:rFonts w:cs="宋体"/>
          <w:bCs/>
          <w:szCs w:val="21"/>
        </w:rPr>
      </w:pPr>
      <w:r>
        <w:rPr>
          <w:rFonts w:hint="eastAsia" w:cs="宋体"/>
          <w:bCs/>
          <w:szCs w:val="21"/>
        </w:rPr>
        <w:t>（1）在企业、行业、专业团体的设计岗位工作，有丰富的艺术类专业技术和工作经验，具有设计专业中级及以上专业资格。</w:t>
      </w:r>
    </w:p>
    <w:p>
      <w:pPr>
        <w:spacing w:line="300" w:lineRule="auto"/>
        <w:ind w:firstLine="420" w:firstLineChars="200"/>
        <w:rPr>
          <w:rFonts w:cs="宋体"/>
          <w:bCs/>
          <w:szCs w:val="21"/>
        </w:rPr>
      </w:pPr>
      <w:r>
        <w:rPr>
          <w:rFonts w:hint="eastAsia" w:cs="宋体"/>
          <w:bCs/>
          <w:szCs w:val="21"/>
        </w:rPr>
        <w:t>（2）具有一定的专业教学经历和教学水平。</w:t>
      </w:r>
    </w:p>
    <w:p>
      <w:pPr>
        <w:spacing w:line="300" w:lineRule="auto"/>
        <w:ind w:firstLine="420" w:firstLineChars="200"/>
        <w:rPr>
          <w:rFonts w:cs="宋体"/>
          <w:bCs/>
          <w:szCs w:val="21"/>
        </w:rPr>
      </w:pPr>
      <w:r>
        <w:rPr>
          <w:rFonts w:hint="eastAsia" w:cs="宋体"/>
          <w:bCs/>
          <w:szCs w:val="21"/>
        </w:rPr>
        <w:t>（3）具有较高的思想政治水平和责任心，热爱学生，为人师表。</w:t>
      </w:r>
    </w:p>
    <w:p>
      <w:pPr>
        <w:spacing w:line="300" w:lineRule="auto"/>
        <w:ind w:firstLine="420" w:firstLineChars="200"/>
        <w:rPr>
          <w:rFonts w:cs="宋体"/>
          <w:bCs/>
          <w:szCs w:val="21"/>
        </w:rPr>
      </w:pPr>
      <w:r>
        <w:rPr>
          <w:rFonts w:hint="eastAsia" w:cs="宋体"/>
          <w:bCs/>
          <w:szCs w:val="21"/>
        </w:rPr>
        <w:t>（4）有保证完成兼课任务所必需的时间。</w:t>
      </w:r>
    </w:p>
    <w:p>
      <w:pPr>
        <w:ind w:firstLine="465"/>
        <w:rPr>
          <w:rFonts w:ascii="仿宋_GB2312" w:hAnsi="仿宋" w:eastAsia="仿宋_GB2312" w:cs="仿宋"/>
          <w:bCs/>
          <w:sz w:val="24"/>
        </w:rPr>
      </w:pPr>
    </w:p>
    <w:p>
      <w:pPr>
        <w:rPr>
          <w:rFonts w:ascii="仿宋_GB2312" w:hAnsi="仿宋" w:eastAsia="仿宋_GB2312" w:cs="仿宋"/>
          <w:b/>
          <w:bCs/>
          <w:sz w:val="28"/>
          <w:szCs w:val="28"/>
        </w:rPr>
      </w:pPr>
      <w:r>
        <w:rPr>
          <w:rFonts w:hint="eastAsia" w:ascii="仿宋_GB2312" w:hAnsi="微软雅黑" w:eastAsia="仿宋_GB2312"/>
          <w:b/>
          <w:sz w:val="28"/>
          <w:szCs w:val="28"/>
        </w:rPr>
        <w:t>十二、实验（实训）条件</w:t>
      </w:r>
    </w:p>
    <w:tbl>
      <w:tblPr>
        <w:tblStyle w:val="8"/>
        <w:tblW w:w="8136" w:type="dxa"/>
        <w:tblInd w:w="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826"/>
        <w:gridCol w:w="1843"/>
        <w:gridCol w:w="1843"/>
        <w:gridCol w:w="21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center"/>
              <w:rPr>
                <w:rFonts w:cs="宋体"/>
                <w:b/>
                <w:bCs/>
                <w:color w:val="000000"/>
                <w:kern w:val="0"/>
                <w:szCs w:val="21"/>
              </w:rPr>
            </w:pPr>
            <w:r>
              <w:rPr>
                <w:rFonts w:hint="eastAsia" w:cs="宋体"/>
                <w:b/>
                <w:bCs/>
                <w:color w:val="000000"/>
                <w:kern w:val="0"/>
                <w:szCs w:val="21"/>
              </w:rPr>
              <w:t>序号</w:t>
            </w:r>
          </w:p>
        </w:tc>
        <w:tc>
          <w:tcPr>
            <w:tcW w:w="1826" w:type="dxa"/>
            <w:shd w:val="clear" w:color="auto" w:fill="auto"/>
            <w:vAlign w:val="center"/>
          </w:tcPr>
          <w:p>
            <w:pPr>
              <w:widowControl/>
              <w:jc w:val="center"/>
              <w:rPr>
                <w:rFonts w:cs="宋体"/>
                <w:b/>
                <w:bCs/>
                <w:color w:val="000000"/>
                <w:kern w:val="0"/>
                <w:szCs w:val="21"/>
              </w:rPr>
            </w:pPr>
            <w:r>
              <w:rPr>
                <w:rFonts w:hint="eastAsia" w:cs="宋体"/>
                <w:b/>
                <w:bCs/>
                <w:color w:val="000000"/>
                <w:kern w:val="0"/>
                <w:szCs w:val="21"/>
              </w:rPr>
              <w:t>实训名称</w:t>
            </w:r>
          </w:p>
        </w:tc>
        <w:tc>
          <w:tcPr>
            <w:tcW w:w="1843" w:type="dxa"/>
            <w:shd w:val="clear" w:color="auto" w:fill="auto"/>
            <w:vAlign w:val="center"/>
          </w:tcPr>
          <w:p>
            <w:pPr>
              <w:widowControl/>
              <w:jc w:val="center"/>
              <w:rPr>
                <w:rFonts w:cs="宋体"/>
                <w:b/>
                <w:bCs/>
                <w:color w:val="000000"/>
                <w:kern w:val="0"/>
                <w:szCs w:val="21"/>
              </w:rPr>
            </w:pPr>
            <w:r>
              <w:rPr>
                <w:rFonts w:hint="eastAsia" w:cs="宋体"/>
                <w:b/>
                <w:bCs/>
                <w:color w:val="000000"/>
                <w:kern w:val="0"/>
                <w:szCs w:val="21"/>
              </w:rPr>
              <w:t>实训室名称</w:t>
            </w:r>
          </w:p>
        </w:tc>
        <w:tc>
          <w:tcPr>
            <w:tcW w:w="1843" w:type="dxa"/>
            <w:shd w:val="clear" w:color="auto" w:fill="auto"/>
            <w:vAlign w:val="center"/>
          </w:tcPr>
          <w:p>
            <w:pPr>
              <w:widowControl/>
              <w:jc w:val="center"/>
              <w:rPr>
                <w:rFonts w:cs="宋体"/>
                <w:b/>
                <w:bCs/>
                <w:color w:val="000000"/>
                <w:kern w:val="0"/>
                <w:szCs w:val="21"/>
              </w:rPr>
            </w:pPr>
            <w:r>
              <w:rPr>
                <w:rFonts w:hint="eastAsia" w:cs="宋体"/>
                <w:b/>
                <w:bCs/>
                <w:color w:val="000000"/>
                <w:kern w:val="0"/>
                <w:szCs w:val="21"/>
              </w:rPr>
              <w:t>实训设备名称</w:t>
            </w:r>
          </w:p>
        </w:tc>
        <w:tc>
          <w:tcPr>
            <w:tcW w:w="2167" w:type="dxa"/>
            <w:shd w:val="clear" w:color="auto" w:fill="auto"/>
            <w:vAlign w:val="center"/>
          </w:tcPr>
          <w:p>
            <w:pPr>
              <w:widowControl/>
              <w:jc w:val="center"/>
              <w:rPr>
                <w:rFonts w:cs="宋体"/>
                <w:b/>
                <w:bCs/>
                <w:color w:val="000000"/>
                <w:kern w:val="0"/>
                <w:szCs w:val="21"/>
              </w:rPr>
            </w:pPr>
            <w:r>
              <w:rPr>
                <w:rFonts w:hint="eastAsia" w:cs="宋体"/>
                <w:b/>
                <w:bCs/>
                <w:color w:val="000000"/>
                <w:kern w:val="0"/>
                <w:szCs w:val="21"/>
              </w:rPr>
              <w:t>配置建议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1</w:t>
            </w:r>
          </w:p>
        </w:tc>
        <w:tc>
          <w:tcPr>
            <w:tcW w:w="1826" w:type="dxa"/>
            <w:shd w:val="clear" w:color="auto" w:fill="auto"/>
            <w:vAlign w:val="center"/>
          </w:tcPr>
          <w:p>
            <w:pPr>
              <w:widowControl/>
              <w:jc w:val="left"/>
              <w:rPr>
                <w:rFonts w:cs="宋体"/>
                <w:color w:val="000000"/>
                <w:kern w:val="0"/>
                <w:szCs w:val="21"/>
              </w:rPr>
            </w:pPr>
            <w:r>
              <w:rPr>
                <w:rFonts w:hint="eastAsia" w:cs="宋体"/>
                <w:color w:val="000000"/>
                <w:kern w:val="0"/>
                <w:szCs w:val="21"/>
              </w:rPr>
              <w:t>素描　</w:t>
            </w:r>
          </w:p>
        </w:tc>
        <w:tc>
          <w:tcPr>
            <w:tcW w:w="1843" w:type="dxa"/>
            <w:shd w:val="clear" w:color="auto" w:fill="auto"/>
            <w:vAlign w:val="center"/>
          </w:tcPr>
          <w:p>
            <w:pPr>
              <w:widowControl/>
              <w:jc w:val="left"/>
              <w:rPr>
                <w:rFonts w:cs="宋体"/>
                <w:color w:val="000000"/>
                <w:kern w:val="0"/>
                <w:szCs w:val="21"/>
              </w:rPr>
            </w:pPr>
            <w:r>
              <w:rPr>
                <w:rFonts w:hint="eastAsia" w:cs="宋体"/>
                <w:color w:val="000000"/>
                <w:kern w:val="0"/>
                <w:szCs w:val="21"/>
              </w:rPr>
              <w:t>绘画实训室1</w:t>
            </w:r>
          </w:p>
        </w:tc>
        <w:tc>
          <w:tcPr>
            <w:tcW w:w="1843" w:type="dxa"/>
            <w:shd w:val="clear" w:color="auto" w:fill="auto"/>
            <w:vAlign w:val="center"/>
          </w:tcPr>
          <w:p>
            <w:pPr>
              <w:widowControl/>
              <w:jc w:val="left"/>
              <w:rPr>
                <w:rFonts w:cs="宋体"/>
                <w:color w:val="000000"/>
                <w:kern w:val="0"/>
                <w:szCs w:val="21"/>
              </w:rPr>
            </w:pPr>
            <w:r>
              <w:rPr>
                <w:rFonts w:hint="eastAsia" w:cs="宋体"/>
                <w:color w:val="000000"/>
                <w:kern w:val="0"/>
                <w:szCs w:val="21"/>
              </w:rPr>
              <w:t>画架、画板、石膏像</w:t>
            </w:r>
          </w:p>
        </w:tc>
        <w:tc>
          <w:tcPr>
            <w:tcW w:w="2167" w:type="dxa"/>
            <w:shd w:val="clear" w:color="auto" w:fill="auto"/>
            <w:vAlign w:val="center"/>
          </w:tcPr>
          <w:p>
            <w:pPr>
              <w:widowControl/>
              <w:jc w:val="left"/>
              <w:rPr>
                <w:rFonts w:cs="宋体"/>
                <w:color w:val="000000"/>
                <w:kern w:val="0"/>
                <w:szCs w:val="21"/>
              </w:rPr>
            </w:pPr>
            <w:r>
              <w:rPr>
                <w:rFonts w:hint="eastAsia" w:cs="宋体"/>
                <w:szCs w:val="21"/>
              </w:rPr>
              <w:t>能满足40人左右训练和教学要求的场所和设备配置</w:t>
            </w:r>
            <w:r>
              <w:rPr>
                <w:rFonts w:hint="eastAsia"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2　</w:t>
            </w:r>
          </w:p>
        </w:tc>
        <w:tc>
          <w:tcPr>
            <w:tcW w:w="1826" w:type="dxa"/>
            <w:shd w:val="clear" w:color="auto" w:fill="auto"/>
            <w:vAlign w:val="center"/>
          </w:tcPr>
          <w:p>
            <w:pPr>
              <w:widowControl/>
              <w:jc w:val="left"/>
              <w:rPr>
                <w:rFonts w:cs="宋体"/>
                <w:color w:val="000000"/>
                <w:kern w:val="0"/>
                <w:szCs w:val="21"/>
              </w:rPr>
            </w:pPr>
            <w:r>
              <w:rPr>
                <w:rFonts w:hint="eastAsia" w:cs="宋体"/>
                <w:color w:val="000000"/>
                <w:kern w:val="0"/>
                <w:szCs w:val="21"/>
              </w:rPr>
              <w:t>色彩</w:t>
            </w:r>
          </w:p>
        </w:tc>
        <w:tc>
          <w:tcPr>
            <w:tcW w:w="1843" w:type="dxa"/>
            <w:shd w:val="clear" w:color="auto" w:fill="auto"/>
            <w:vAlign w:val="center"/>
          </w:tcPr>
          <w:p>
            <w:pPr>
              <w:widowControl/>
              <w:jc w:val="left"/>
              <w:rPr>
                <w:rFonts w:cs="宋体"/>
                <w:color w:val="000000"/>
                <w:kern w:val="0"/>
                <w:szCs w:val="21"/>
              </w:rPr>
            </w:pPr>
            <w:r>
              <w:rPr>
                <w:rFonts w:hint="eastAsia" w:cs="宋体"/>
                <w:color w:val="000000"/>
                <w:kern w:val="0"/>
                <w:szCs w:val="21"/>
              </w:rPr>
              <w:t>绘画实训室2　</w:t>
            </w:r>
          </w:p>
        </w:tc>
        <w:tc>
          <w:tcPr>
            <w:tcW w:w="1843" w:type="dxa"/>
            <w:shd w:val="clear" w:color="auto" w:fill="auto"/>
            <w:vAlign w:val="center"/>
          </w:tcPr>
          <w:p>
            <w:pPr>
              <w:widowControl/>
              <w:jc w:val="left"/>
              <w:rPr>
                <w:rFonts w:cs="宋体"/>
                <w:color w:val="000000"/>
                <w:kern w:val="0"/>
                <w:szCs w:val="21"/>
              </w:rPr>
            </w:pPr>
            <w:r>
              <w:rPr>
                <w:rFonts w:hint="eastAsia" w:cs="宋体"/>
                <w:color w:val="000000"/>
                <w:kern w:val="0"/>
                <w:szCs w:val="21"/>
              </w:rPr>
              <w:t>画架、画板、静物　</w:t>
            </w:r>
          </w:p>
        </w:tc>
        <w:tc>
          <w:tcPr>
            <w:tcW w:w="2167" w:type="dxa"/>
            <w:shd w:val="clear" w:color="auto" w:fill="auto"/>
            <w:vAlign w:val="center"/>
          </w:tcPr>
          <w:p>
            <w:pPr>
              <w:widowControl/>
              <w:jc w:val="left"/>
              <w:rPr>
                <w:rFonts w:cs="宋体"/>
                <w:color w:val="000000"/>
                <w:kern w:val="0"/>
                <w:szCs w:val="21"/>
              </w:rPr>
            </w:pPr>
            <w:r>
              <w:rPr>
                <w:rFonts w:hint="eastAsia" w:cs="宋体"/>
                <w:szCs w:val="21"/>
              </w:rPr>
              <w:t>能满足40人左右训练和教学要求的场所和设备配置</w:t>
            </w:r>
            <w:r>
              <w:rPr>
                <w:rFonts w:hint="eastAsia" w:cs="宋体"/>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　3</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广告策划实训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艺术设计实训室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高配电脑</w:t>
            </w:r>
          </w:p>
        </w:tc>
        <w:tc>
          <w:tcPr>
            <w:tcW w:w="2167" w:type="dxa"/>
            <w:shd w:val="clear" w:color="auto" w:fill="auto"/>
            <w:vAlign w:val="center"/>
          </w:tcPr>
          <w:p>
            <w:pPr>
              <w:widowControl/>
              <w:rPr>
                <w:rFonts w:cs="宋体"/>
                <w:color w:val="000000"/>
                <w:kern w:val="0"/>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4　</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影视后期实训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影视动画实训室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高配电脑</w:t>
            </w:r>
          </w:p>
        </w:tc>
        <w:tc>
          <w:tcPr>
            <w:tcW w:w="2167" w:type="dxa"/>
            <w:shd w:val="clear" w:color="auto" w:fill="auto"/>
            <w:vAlign w:val="center"/>
          </w:tcPr>
          <w:p>
            <w:pPr>
              <w:widowControl/>
              <w:rPr>
                <w:rFonts w:cs="宋体"/>
                <w:color w:val="000000"/>
                <w:kern w:val="0"/>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5　</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摄影摄像实训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专业摄影实训室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背景布，灯光、静物台、单反相机数台</w:t>
            </w:r>
          </w:p>
        </w:tc>
        <w:tc>
          <w:tcPr>
            <w:tcW w:w="2167" w:type="dxa"/>
            <w:shd w:val="clear" w:color="auto" w:fill="auto"/>
            <w:vAlign w:val="center"/>
          </w:tcPr>
          <w:p>
            <w:pPr>
              <w:widowControl/>
              <w:rPr>
                <w:rFonts w:cs="宋体"/>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6　</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包装设计实训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计算机辅助设计实训室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电脑</w:t>
            </w:r>
          </w:p>
        </w:tc>
        <w:tc>
          <w:tcPr>
            <w:tcW w:w="2167" w:type="dxa"/>
            <w:shd w:val="clear" w:color="auto" w:fill="auto"/>
            <w:vAlign w:val="center"/>
          </w:tcPr>
          <w:p>
            <w:pPr>
              <w:widowControl/>
              <w:rPr>
                <w:rFonts w:cs="宋体"/>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7</w:t>
            </w:r>
          </w:p>
        </w:tc>
        <w:tc>
          <w:tcPr>
            <w:tcW w:w="1826" w:type="dxa"/>
            <w:shd w:val="clear" w:color="auto" w:fill="auto"/>
            <w:vAlign w:val="center"/>
          </w:tcPr>
          <w:p>
            <w:pPr>
              <w:widowControl/>
              <w:rPr>
                <w:rFonts w:cs="宋体"/>
                <w:color w:val="000000"/>
                <w:kern w:val="0"/>
                <w:szCs w:val="21"/>
              </w:rPr>
            </w:pPr>
            <w:r>
              <w:rPr>
                <w:rFonts w:hint="eastAsia" w:cs="宋体"/>
                <w:szCs w:val="21"/>
              </w:rPr>
              <w:t>文化展示空间设计实训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空间设计实训室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高配电脑</w:t>
            </w:r>
          </w:p>
        </w:tc>
        <w:tc>
          <w:tcPr>
            <w:tcW w:w="2167" w:type="dxa"/>
            <w:shd w:val="clear" w:color="auto" w:fill="auto"/>
            <w:vAlign w:val="center"/>
          </w:tcPr>
          <w:p>
            <w:pPr>
              <w:widowControl/>
              <w:rPr>
                <w:rFonts w:cs="宋体"/>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8</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非遗技艺实训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非遗项目实训室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手工制作工具</w:t>
            </w:r>
          </w:p>
        </w:tc>
        <w:tc>
          <w:tcPr>
            <w:tcW w:w="2167" w:type="dxa"/>
            <w:shd w:val="clear" w:color="auto" w:fill="auto"/>
            <w:vAlign w:val="center"/>
          </w:tcPr>
          <w:p>
            <w:pPr>
              <w:widowControl/>
              <w:rPr>
                <w:rFonts w:cs="宋体"/>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9</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广告创意策划实训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创意与设计实训室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电脑、投影仪</w:t>
            </w:r>
          </w:p>
        </w:tc>
        <w:tc>
          <w:tcPr>
            <w:tcW w:w="2167" w:type="dxa"/>
            <w:shd w:val="clear" w:color="auto" w:fill="auto"/>
            <w:vAlign w:val="center"/>
          </w:tcPr>
          <w:p>
            <w:pPr>
              <w:widowControl/>
              <w:rPr>
                <w:rFonts w:cs="宋体"/>
                <w:szCs w:val="21"/>
              </w:rPr>
            </w:pPr>
            <w:r>
              <w:rPr>
                <w:rFonts w:hint="eastAsia" w:cs="宋体"/>
                <w:szCs w:val="21"/>
              </w:rPr>
              <w:t>能满足40人左右训练和教学要求的场所和设备配置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57" w:type="dxa"/>
            <w:shd w:val="clear" w:color="auto" w:fill="auto"/>
            <w:vAlign w:val="center"/>
          </w:tcPr>
          <w:p>
            <w:pPr>
              <w:widowControl/>
              <w:jc w:val="left"/>
              <w:rPr>
                <w:rFonts w:cs="宋体"/>
                <w:color w:val="000000"/>
                <w:kern w:val="0"/>
                <w:szCs w:val="21"/>
              </w:rPr>
            </w:pPr>
            <w:r>
              <w:rPr>
                <w:rFonts w:hint="eastAsia" w:cs="宋体"/>
                <w:color w:val="000000"/>
                <w:kern w:val="0"/>
                <w:szCs w:val="21"/>
              </w:rPr>
              <w:t>10</w:t>
            </w:r>
          </w:p>
        </w:tc>
        <w:tc>
          <w:tcPr>
            <w:tcW w:w="1826" w:type="dxa"/>
            <w:shd w:val="clear" w:color="auto" w:fill="auto"/>
            <w:vAlign w:val="center"/>
          </w:tcPr>
          <w:p>
            <w:pPr>
              <w:widowControl/>
              <w:rPr>
                <w:rFonts w:cs="宋体"/>
                <w:color w:val="000000"/>
                <w:kern w:val="0"/>
                <w:szCs w:val="21"/>
              </w:rPr>
            </w:pPr>
            <w:r>
              <w:rPr>
                <w:rFonts w:hint="eastAsia" w:cs="宋体"/>
                <w:color w:val="000000"/>
                <w:kern w:val="0"/>
                <w:szCs w:val="21"/>
              </w:rPr>
              <w:t>网页设计实训</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数字媒体实训室</w:t>
            </w:r>
          </w:p>
        </w:tc>
        <w:tc>
          <w:tcPr>
            <w:tcW w:w="1843" w:type="dxa"/>
            <w:shd w:val="clear" w:color="auto" w:fill="auto"/>
            <w:vAlign w:val="center"/>
          </w:tcPr>
          <w:p>
            <w:pPr>
              <w:widowControl/>
              <w:rPr>
                <w:rFonts w:cs="宋体"/>
                <w:color w:val="000000"/>
                <w:kern w:val="0"/>
                <w:szCs w:val="21"/>
              </w:rPr>
            </w:pPr>
            <w:r>
              <w:rPr>
                <w:rFonts w:hint="eastAsia" w:cs="宋体"/>
                <w:color w:val="000000"/>
                <w:kern w:val="0"/>
                <w:szCs w:val="21"/>
              </w:rPr>
              <w:t>高配电脑</w:t>
            </w:r>
          </w:p>
        </w:tc>
        <w:tc>
          <w:tcPr>
            <w:tcW w:w="2167" w:type="dxa"/>
            <w:shd w:val="clear" w:color="auto" w:fill="auto"/>
            <w:vAlign w:val="center"/>
          </w:tcPr>
          <w:p>
            <w:pPr>
              <w:widowControl/>
              <w:rPr>
                <w:rFonts w:cs="宋体"/>
                <w:szCs w:val="21"/>
              </w:rPr>
            </w:pPr>
            <w:r>
              <w:rPr>
                <w:rFonts w:hint="eastAsia" w:cs="宋体"/>
                <w:szCs w:val="21"/>
              </w:rPr>
              <w:t>能满足40人左右训练和教学要求的场所和设备配置</w:t>
            </w:r>
          </w:p>
        </w:tc>
      </w:tr>
    </w:tbl>
    <w:p>
      <w:pPr>
        <w:rPr>
          <w:rFonts w:ascii="仿宋_GB2312" w:hAnsi="仿宋" w:eastAsia="仿宋_GB2312" w:cs="仿宋"/>
          <w:bCs/>
          <w:sz w:val="24"/>
        </w:rPr>
      </w:pPr>
    </w:p>
    <w:p>
      <w:pPr>
        <w:rPr>
          <w:rFonts w:ascii="仿宋_GB2312" w:hAnsi="仿宋" w:eastAsia="仿宋_GB2312" w:cs="仿宋"/>
          <w:b/>
          <w:bCs/>
          <w:sz w:val="28"/>
          <w:szCs w:val="28"/>
        </w:rPr>
      </w:pPr>
      <w:r>
        <w:rPr>
          <w:rFonts w:hint="eastAsia" w:ascii="仿宋_GB2312" w:hAnsi="仿宋" w:eastAsia="仿宋_GB2312" w:cs="仿宋"/>
          <w:b/>
          <w:bCs/>
          <w:color w:val="FF0000"/>
          <w:sz w:val="28"/>
          <w:szCs w:val="28"/>
        </w:rPr>
        <w:t xml:space="preserve"> </w:t>
      </w:r>
      <w:r>
        <w:rPr>
          <w:rFonts w:hint="eastAsia" w:ascii="仿宋_GB2312" w:hAnsi="仿宋" w:eastAsia="仿宋_GB2312" w:cs="仿宋"/>
          <w:b/>
          <w:bCs/>
          <w:sz w:val="28"/>
          <w:szCs w:val="28"/>
        </w:rPr>
        <w:t>十三、毕业标准</w:t>
      </w:r>
    </w:p>
    <w:p>
      <w:pPr>
        <w:spacing w:line="300" w:lineRule="auto"/>
        <w:ind w:firstLine="420" w:firstLineChars="200"/>
        <w:rPr>
          <w:rFonts w:cs="宋体"/>
          <w:bCs/>
          <w:szCs w:val="21"/>
        </w:rPr>
      </w:pPr>
      <w:r>
        <w:rPr>
          <w:rFonts w:hint="eastAsia" w:cs="宋体"/>
          <w:bCs/>
          <w:szCs w:val="21"/>
        </w:rPr>
        <w:t>学生满足如下条件，准予毕业：</w:t>
      </w:r>
    </w:p>
    <w:p>
      <w:pPr>
        <w:spacing w:line="300" w:lineRule="auto"/>
        <w:ind w:firstLine="420" w:firstLineChars="200"/>
        <w:rPr>
          <w:rFonts w:cs="宋体"/>
          <w:bCs/>
          <w:szCs w:val="21"/>
        </w:rPr>
      </w:pPr>
      <w:r>
        <w:rPr>
          <w:rFonts w:hint="eastAsia" w:cs="宋体"/>
          <w:bCs/>
          <w:szCs w:val="21"/>
        </w:rPr>
        <w:t>（1）思想品德鉴定合格；</w:t>
      </w:r>
    </w:p>
    <w:p>
      <w:pPr>
        <w:spacing w:line="300" w:lineRule="auto"/>
        <w:ind w:firstLine="420" w:firstLineChars="200"/>
        <w:rPr>
          <w:rFonts w:cs="宋体"/>
          <w:bCs/>
          <w:szCs w:val="21"/>
        </w:rPr>
      </w:pPr>
      <w:r>
        <w:rPr>
          <w:rFonts w:hint="eastAsia" w:cs="宋体"/>
          <w:bCs/>
          <w:szCs w:val="21"/>
        </w:rPr>
        <w:t>（2）修完规定课程，达到最低毕业总学分265学分。</w:t>
      </w:r>
    </w:p>
    <w:p>
      <w:pPr>
        <w:spacing w:line="300" w:lineRule="auto"/>
        <w:ind w:firstLine="420" w:firstLineChars="200"/>
        <w:rPr>
          <w:rFonts w:cs="宋体"/>
          <w:bCs/>
          <w:szCs w:val="21"/>
        </w:rPr>
      </w:pPr>
      <w:r>
        <w:rPr>
          <w:rFonts w:hint="eastAsia" w:cs="宋体"/>
          <w:bCs/>
          <w:szCs w:val="21"/>
        </w:rPr>
        <w:t>（3）按照“职业资格”的要求，取得相应的技能证书。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A4BD"/>
    <w:multiLevelType w:val="singleLevel"/>
    <w:tmpl w:val="8263A4BD"/>
    <w:lvl w:ilvl="0" w:tentative="0">
      <w:start w:val="6"/>
      <w:numFmt w:val="chineseCounting"/>
      <w:suff w:val="nothing"/>
      <w:lvlText w:val="%1、"/>
      <w:lvlJc w:val="left"/>
      <w:rPr>
        <w:rFonts w:hint="eastAsia"/>
      </w:rPr>
    </w:lvl>
  </w:abstractNum>
  <w:abstractNum w:abstractNumId="1">
    <w:nsid w:val="D804F18C"/>
    <w:multiLevelType w:val="singleLevel"/>
    <w:tmpl w:val="D804F18C"/>
    <w:lvl w:ilvl="0" w:tentative="0">
      <w:start w:val="3"/>
      <w:numFmt w:val="decimal"/>
      <w:lvlText w:val="%1."/>
      <w:lvlJc w:val="left"/>
      <w:pPr>
        <w:tabs>
          <w:tab w:val="left" w:pos="312"/>
        </w:tabs>
      </w:pPr>
    </w:lvl>
  </w:abstractNum>
  <w:abstractNum w:abstractNumId="2">
    <w:nsid w:val="E617E53F"/>
    <w:multiLevelType w:val="singleLevel"/>
    <w:tmpl w:val="E617E53F"/>
    <w:lvl w:ilvl="0" w:tentative="0">
      <w:start w:val="1"/>
      <w:numFmt w:val="decimal"/>
      <w:suff w:val="nothing"/>
      <w:lvlText w:val="（%1）"/>
      <w:lvlJc w:val="left"/>
    </w:lvl>
  </w:abstractNum>
  <w:abstractNum w:abstractNumId="3">
    <w:nsid w:val="073A20D9"/>
    <w:multiLevelType w:val="singleLevel"/>
    <w:tmpl w:val="073A20D9"/>
    <w:lvl w:ilvl="0" w:tentative="0">
      <w:start w:val="9"/>
      <w:numFmt w:val="chineseCounting"/>
      <w:suff w:val="nothing"/>
      <w:lvlText w:val="（%1）"/>
      <w:lvlJc w:val="left"/>
      <w:rPr>
        <w:rFonts w:hint="eastAsia"/>
      </w:rPr>
    </w:lvl>
  </w:abstractNum>
  <w:abstractNum w:abstractNumId="4">
    <w:nsid w:val="293194E9"/>
    <w:multiLevelType w:val="singleLevel"/>
    <w:tmpl w:val="293194E9"/>
    <w:lvl w:ilvl="0" w:tentative="0">
      <w:start w:val="1"/>
      <w:numFmt w:val="chineseCounting"/>
      <w:suff w:val="nothing"/>
      <w:lvlText w:val="%1、"/>
      <w:lvlJc w:val="left"/>
      <w:rPr>
        <w:rFonts w:hint="eastAsia"/>
      </w:rPr>
    </w:lvl>
  </w:abstractNum>
  <w:abstractNum w:abstractNumId="5">
    <w:nsid w:val="5206CF0A"/>
    <w:multiLevelType w:val="singleLevel"/>
    <w:tmpl w:val="5206CF0A"/>
    <w:lvl w:ilvl="0" w:tentative="0">
      <w:start w:val="2"/>
      <w:numFmt w:val="decimal"/>
      <w:suff w:val="nothing"/>
      <w:lvlText w:val="（%1）"/>
      <w:lvlJc w:val="left"/>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B73B1"/>
    <w:rsid w:val="00064511"/>
    <w:rsid w:val="000946AA"/>
    <w:rsid w:val="000B1596"/>
    <w:rsid w:val="00166E06"/>
    <w:rsid w:val="001A129A"/>
    <w:rsid w:val="001C5B47"/>
    <w:rsid w:val="0025231A"/>
    <w:rsid w:val="002637F3"/>
    <w:rsid w:val="00283EBF"/>
    <w:rsid w:val="002A342D"/>
    <w:rsid w:val="002B7E43"/>
    <w:rsid w:val="002C024E"/>
    <w:rsid w:val="002F0B2B"/>
    <w:rsid w:val="003141BE"/>
    <w:rsid w:val="00354075"/>
    <w:rsid w:val="00356EEA"/>
    <w:rsid w:val="003A06BE"/>
    <w:rsid w:val="003B5CDE"/>
    <w:rsid w:val="003B73B1"/>
    <w:rsid w:val="003C0526"/>
    <w:rsid w:val="003E2B34"/>
    <w:rsid w:val="003F4017"/>
    <w:rsid w:val="00504403"/>
    <w:rsid w:val="00525A86"/>
    <w:rsid w:val="0053095B"/>
    <w:rsid w:val="00554814"/>
    <w:rsid w:val="005A2CA3"/>
    <w:rsid w:val="005C3C0B"/>
    <w:rsid w:val="005E7A57"/>
    <w:rsid w:val="005F6A27"/>
    <w:rsid w:val="00601319"/>
    <w:rsid w:val="00707D40"/>
    <w:rsid w:val="00753557"/>
    <w:rsid w:val="00753D15"/>
    <w:rsid w:val="007976D8"/>
    <w:rsid w:val="007D37B6"/>
    <w:rsid w:val="007D4065"/>
    <w:rsid w:val="007E49CB"/>
    <w:rsid w:val="008D0C14"/>
    <w:rsid w:val="008D0CE3"/>
    <w:rsid w:val="008E2DE4"/>
    <w:rsid w:val="00940BD4"/>
    <w:rsid w:val="009D2860"/>
    <w:rsid w:val="009D4EB1"/>
    <w:rsid w:val="009E0CDE"/>
    <w:rsid w:val="00A23E65"/>
    <w:rsid w:val="00A74954"/>
    <w:rsid w:val="00AC6B41"/>
    <w:rsid w:val="00B26A4C"/>
    <w:rsid w:val="00B31AE1"/>
    <w:rsid w:val="00B7538F"/>
    <w:rsid w:val="00B834B9"/>
    <w:rsid w:val="00B8663B"/>
    <w:rsid w:val="00BD1A76"/>
    <w:rsid w:val="00C462D2"/>
    <w:rsid w:val="00C53E0D"/>
    <w:rsid w:val="00CB0C4D"/>
    <w:rsid w:val="00CD4BD0"/>
    <w:rsid w:val="00D118BB"/>
    <w:rsid w:val="00D21FCE"/>
    <w:rsid w:val="00D51EC7"/>
    <w:rsid w:val="00D61727"/>
    <w:rsid w:val="00D72CEF"/>
    <w:rsid w:val="00D92FA6"/>
    <w:rsid w:val="00DB0013"/>
    <w:rsid w:val="00DB5C38"/>
    <w:rsid w:val="00DC1091"/>
    <w:rsid w:val="00DE4D31"/>
    <w:rsid w:val="00E41FD5"/>
    <w:rsid w:val="00F2792E"/>
    <w:rsid w:val="00F32B1F"/>
    <w:rsid w:val="00F45C67"/>
    <w:rsid w:val="00FA384C"/>
    <w:rsid w:val="00FA61EE"/>
    <w:rsid w:val="00FA766B"/>
    <w:rsid w:val="00FE09CE"/>
    <w:rsid w:val="011B5B78"/>
    <w:rsid w:val="016812CC"/>
    <w:rsid w:val="023A2C71"/>
    <w:rsid w:val="033C0AEA"/>
    <w:rsid w:val="03C65BB0"/>
    <w:rsid w:val="045C2F22"/>
    <w:rsid w:val="05F224EB"/>
    <w:rsid w:val="062F6DF2"/>
    <w:rsid w:val="06E8312A"/>
    <w:rsid w:val="0823577E"/>
    <w:rsid w:val="089D08BD"/>
    <w:rsid w:val="08B54A01"/>
    <w:rsid w:val="09215469"/>
    <w:rsid w:val="0A3C3CD8"/>
    <w:rsid w:val="0A684464"/>
    <w:rsid w:val="0AC00673"/>
    <w:rsid w:val="0BA0166B"/>
    <w:rsid w:val="0CA34498"/>
    <w:rsid w:val="0D605D49"/>
    <w:rsid w:val="10024FBF"/>
    <w:rsid w:val="10E95880"/>
    <w:rsid w:val="11C954A0"/>
    <w:rsid w:val="121C4D02"/>
    <w:rsid w:val="126028D9"/>
    <w:rsid w:val="138004AD"/>
    <w:rsid w:val="14426BC1"/>
    <w:rsid w:val="15BC00CD"/>
    <w:rsid w:val="17740862"/>
    <w:rsid w:val="17813ADE"/>
    <w:rsid w:val="178A566D"/>
    <w:rsid w:val="17EF4DE2"/>
    <w:rsid w:val="18593C7F"/>
    <w:rsid w:val="18EC29DD"/>
    <w:rsid w:val="1B641471"/>
    <w:rsid w:val="1BC459B4"/>
    <w:rsid w:val="1D12794B"/>
    <w:rsid w:val="1D293C87"/>
    <w:rsid w:val="1DF868FD"/>
    <w:rsid w:val="1E0D2FC0"/>
    <w:rsid w:val="1E1A4E00"/>
    <w:rsid w:val="1EE15464"/>
    <w:rsid w:val="1F172B57"/>
    <w:rsid w:val="20342FEB"/>
    <w:rsid w:val="205F065A"/>
    <w:rsid w:val="210A4EC9"/>
    <w:rsid w:val="21B30568"/>
    <w:rsid w:val="228401B1"/>
    <w:rsid w:val="22C5344A"/>
    <w:rsid w:val="236153DE"/>
    <w:rsid w:val="236C1D1C"/>
    <w:rsid w:val="238D4BB3"/>
    <w:rsid w:val="24741353"/>
    <w:rsid w:val="24B55CA2"/>
    <w:rsid w:val="25ED4EDE"/>
    <w:rsid w:val="269D045C"/>
    <w:rsid w:val="27403D87"/>
    <w:rsid w:val="276F5B48"/>
    <w:rsid w:val="27984395"/>
    <w:rsid w:val="27C677A8"/>
    <w:rsid w:val="28C700EC"/>
    <w:rsid w:val="2B464D4F"/>
    <w:rsid w:val="2C525A21"/>
    <w:rsid w:val="2C9D6A79"/>
    <w:rsid w:val="2CF848F1"/>
    <w:rsid w:val="2F935D42"/>
    <w:rsid w:val="2FF72210"/>
    <w:rsid w:val="303A4B20"/>
    <w:rsid w:val="30D04F8E"/>
    <w:rsid w:val="30F14CE2"/>
    <w:rsid w:val="314860DF"/>
    <w:rsid w:val="31D40D26"/>
    <w:rsid w:val="323D7FED"/>
    <w:rsid w:val="32B27647"/>
    <w:rsid w:val="32CC2F27"/>
    <w:rsid w:val="33A87699"/>
    <w:rsid w:val="33ED76BA"/>
    <w:rsid w:val="34886AB1"/>
    <w:rsid w:val="34A47775"/>
    <w:rsid w:val="34B32D58"/>
    <w:rsid w:val="34D22876"/>
    <w:rsid w:val="35DA0F96"/>
    <w:rsid w:val="35F600DC"/>
    <w:rsid w:val="37ED065A"/>
    <w:rsid w:val="384075CB"/>
    <w:rsid w:val="38E20581"/>
    <w:rsid w:val="39EB7637"/>
    <w:rsid w:val="3A2D4541"/>
    <w:rsid w:val="3B461F8A"/>
    <w:rsid w:val="3C096A1B"/>
    <w:rsid w:val="3C161C14"/>
    <w:rsid w:val="3C592B54"/>
    <w:rsid w:val="3DA8651A"/>
    <w:rsid w:val="3E2D561A"/>
    <w:rsid w:val="42074DAA"/>
    <w:rsid w:val="425C7538"/>
    <w:rsid w:val="429D46C8"/>
    <w:rsid w:val="431E3BC8"/>
    <w:rsid w:val="44A50BAC"/>
    <w:rsid w:val="45763C3D"/>
    <w:rsid w:val="46A85292"/>
    <w:rsid w:val="477F69BC"/>
    <w:rsid w:val="49B4752D"/>
    <w:rsid w:val="4B18606F"/>
    <w:rsid w:val="4BE62E49"/>
    <w:rsid w:val="4C045BBC"/>
    <w:rsid w:val="4C5476F1"/>
    <w:rsid w:val="4E203A6A"/>
    <w:rsid w:val="4FED549B"/>
    <w:rsid w:val="502F5275"/>
    <w:rsid w:val="510B0559"/>
    <w:rsid w:val="51A905A1"/>
    <w:rsid w:val="54353785"/>
    <w:rsid w:val="54410CAB"/>
    <w:rsid w:val="552B7322"/>
    <w:rsid w:val="557677B2"/>
    <w:rsid w:val="558D2E15"/>
    <w:rsid w:val="55B600EC"/>
    <w:rsid w:val="56ED6C92"/>
    <w:rsid w:val="58855B2E"/>
    <w:rsid w:val="58DA26FD"/>
    <w:rsid w:val="59422D3A"/>
    <w:rsid w:val="599463AE"/>
    <w:rsid w:val="59FD565F"/>
    <w:rsid w:val="5A3E1F2C"/>
    <w:rsid w:val="5C1F5881"/>
    <w:rsid w:val="5C706BB5"/>
    <w:rsid w:val="5E3E4F1D"/>
    <w:rsid w:val="5F3F7D13"/>
    <w:rsid w:val="5F4F4E09"/>
    <w:rsid w:val="605C6A37"/>
    <w:rsid w:val="617D3A97"/>
    <w:rsid w:val="62DB1ED5"/>
    <w:rsid w:val="635235E1"/>
    <w:rsid w:val="63DA34A0"/>
    <w:rsid w:val="64074F48"/>
    <w:rsid w:val="659B020E"/>
    <w:rsid w:val="67413BB7"/>
    <w:rsid w:val="67DA0123"/>
    <w:rsid w:val="685C32C6"/>
    <w:rsid w:val="68930410"/>
    <w:rsid w:val="699B526E"/>
    <w:rsid w:val="6A5555A9"/>
    <w:rsid w:val="6B0028BA"/>
    <w:rsid w:val="6B205821"/>
    <w:rsid w:val="6B3A77E9"/>
    <w:rsid w:val="6C447256"/>
    <w:rsid w:val="6D983CF1"/>
    <w:rsid w:val="6E9B7E00"/>
    <w:rsid w:val="6EE654B1"/>
    <w:rsid w:val="6EEA6956"/>
    <w:rsid w:val="706379AD"/>
    <w:rsid w:val="706D36D4"/>
    <w:rsid w:val="710B488D"/>
    <w:rsid w:val="715452C3"/>
    <w:rsid w:val="71D93CF2"/>
    <w:rsid w:val="729B11BE"/>
    <w:rsid w:val="73CF1945"/>
    <w:rsid w:val="74116C5B"/>
    <w:rsid w:val="755D3D05"/>
    <w:rsid w:val="769D4D4F"/>
    <w:rsid w:val="77546F15"/>
    <w:rsid w:val="781C321B"/>
    <w:rsid w:val="783C763D"/>
    <w:rsid w:val="78FC3C2F"/>
    <w:rsid w:val="7B8A7328"/>
    <w:rsid w:val="7C153401"/>
    <w:rsid w:val="7C184602"/>
    <w:rsid w:val="7CDC34B3"/>
    <w:rsid w:val="7D582565"/>
    <w:rsid w:val="7D76488A"/>
    <w:rsid w:val="7E136F3A"/>
    <w:rsid w:val="7E3F4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pPr>
      <w:jc w:val="left"/>
    </w:pPr>
  </w:style>
  <w:style w:type="paragraph" w:styleId="3">
    <w:name w:val="Plain Text"/>
    <w:basedOn w:val="1"/>
    <w:semiHidden/>
    <w:unhideWhenUsed/>
    <w:qFormat/>
    <w:uiPriority w:val="0"/>
    <w:pPr>
      <w:adjustRightInd w:val="0"/>
      <w:spacing w:before="20" w:after="20" w:line="320" w:lineRule="atLeast"/>
      <w:ind w:firstLine="425"/>
      <w:jc w:val="left"/>
    </w:pPr>
    <w:rPr>
      <w:rFonts w:ascii="宋体" w:hAnsi="Courier New"/>
      <w:szCs w:val="20"/>
    </w:r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uiPriority w:val="0"/>
    <w:rPr>
      <w:b/>
      <w:bCs/>
    </w:rPr>
  </w:style>
  <w:style w:type="table" w:styleId="9">
    <w:name w:val="Table Grid"/>
    <w:basedOn w:val="8"/>
    <w:qFormat/>
    <w:uiPriority w:val="59"/>
    <w:pPr>
      <w:spacing w:beforeAutospacing="1" w:afterAutospacing="1"/>
    </w:pPr>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FollowedHyperlink"/>
    <w:basedOn w:val="10"/>
    <w:semiHidden/>
    <w:unhideWhenUsed/>
    <w:uiPriority w:val="0"/>
    <w:rPr>
      <w:color w:val="07519A"/>
      <w:u w:val="none"/>
    </w:rPr>
  </w:style>
  <w:style w:type="character" w:styleId="12">
    <w:name w:val="Hyperlink"/>
    <w:basedOn w:val="10"/>
    <w:semiHidden/>
    <w:unhideWhenUsed/>
    <w:uiPriority w:val="0"/>
    <w:rPr>
      <w:color w:val="07519A"/>
      <w:u w:val="none"/>
    </w:rPr>
  </w:style>
  <w:style w:type="character" w:styleId="13">
    <w:name w:val="annotation reference"/>
    <w:basedOn w:val="10"/>
    <w:semiHidden/>
    <w:unhideWhenUsed/>
    <w:qFormat/>
    <w:uiPriority w:val="0"/>
    <w:rPr>
      <w:sz w:val="21"/>
      <w:szCs w:val="21"/>
    </w:rPr>
  </w:style>
  <w:style w:type="character" w:customStyle="1" w:styleId="14">
    <w:name w:val="页眉 字符"/>
    <w:basedOn w:val="10"/>
    <w:link w:val="6"/>
    <w:qFormat/>
    <w:uiPriority w:val="0"/>
    <w:rPr>
      <w:kern w:val="2"/>
      <w:sz w:val="18"/>
      <w:szCs w:val="18"/>
    </w:rPr>
  </w:style>
  <w:style w:type="character" w:customStyle="1" w:styleId="15">
    <w:name w:val="页脚 字符"/>
    <w:basedOn w:val="10"/>
    <w:link w:val="5"/>
    <w:qFormat/>
    <w:uiPriority w:val="0"/>
    <w:rPr>
      <w:kern w:val="2"/>
      <w:sz w:val="18"/>
      <w:szCs w:val="18"/>
    </w:rPr>
  </w:style>
  <w:style w:type="character" w:customStyle="1" w:styleId="16">
    <w:name w:val="批注框文本 字符"/>
    <w:basedOn w:val="10"/>
    <w:link w:val="4"/>
    <w:qFormat/>
    <w:uiPriority w:val="0"/>
    <w:rPr>
      <w:kern w:val="2"/>
      <w:sz w:val="18"/>
      <w:szCs w:val="18"/>
    </w:rPr>
  </w:style>
  <w:style w:type="character" w:customStyle="1" w:styleId="17">
    <w:name w:val="样式 (西文) 黑体 (中文) 黑体 四号"/>
    <w:qFormat/>
    <w:uiPriority w:val="0"/>
    <w:rPr>
      <w:rFonts w:ascii="黑体" w:hAnsi="黑体" w:eastAsia="黑体"/>
      <w:sz w:val="24"/>
    </w:rPr>
  </w:style>
  <w:style w:type="paragraph" w:customStyle="1" w:styleId="18">
    <w:name w:val="正方"/>
    <w:basedOn w:val="1"/>
    <w:qFormat/>
    <w:uiPriority w:val="0"/>
    <w:pPr>
      <w:spacing w:line="360" w:lineRule="auto"/>
      <w:ind w:firstLine="480" w:firstLineChars="200"/>
    </w:pPr>
    <w:rPr>
      <w:sz w:val="24"/>
    </w:rPr>
  </w:style>
  <w:style w:type="character" w:customStyle="1" w:styleId="19">
    <w:name w:val="批注文字 字符"/>
    <w:basedOn w:val="10"/>
    <w:link w:val="2"/>
    <w:semiHidden/>
    <w:qFormat/>
    <w:uiPriority w:val="0"/>
    <w:rPr>
      <w:kern w:val="2"/>
      <w:sz w:val="21"/>
      <w:szCs w:val="24"/>
    </w:rPr>
  </w:style>
  <w:style w:type="character" w:customStyle="1" w:styleId="20">
    <w:name w:val="批注主题 字符"/>
    <w:basedOn w:val="19"/>
    <w:link w:val="7"/>
    <w:semiHidden/>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1539</Words>
  <Characters>8776</Characters>
  <Lines>73</Lines>
  <Paragraphs>20</Paragraphs>
  <TotalTime>5</TotalTime>
  <ScaleCrop>false</ScaleCrop>
  <LinksUpToDate>false</LinksUpToDate>
  <CharactersWithSpaces>10295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2017-05-09T02:11:00Z</dcterms:created>
  <dc:creator>张冬梅</dc:creator>
  <cp:lastModifiedBy>Txm</cp:lastModifiedBy>
  <cp:lastPrinted>2017-05-17T02:57:00Z</cp:lastPrinted>
  <dcterms:modified xsi:type="dcterms:W3CDTF">2021-12-02T08:09:46Z</dcterms:modified>
  <dc:title>附件2：</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6386C0B73A444EEF8D026ED48E953062</vt:lpwstr>
  </property>
</Properties>
</file>