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微软雅黑" w:eastAsia="黑体"/>
          <w:color w:val="auto"/>
          <w:sz w:val="36"/>
          <w:szCs w:val="36"/>
        </w:rPr>
      </w:pPr>
      <w:r>
        <w:rPr>
          <w:rFonts w:hint="eastAsia" w:ascii="黑体" w:hAnsi="微软雅黑" w:eastAsia="黑体"/>
          <w:color w:val="auto"/>
          <w:sz w:val="36"/>
          <w:szCs w:val="36"/>
        </w:rPr>
        <w:t>江苏城市职业学院</w:t>
      </w:r>
      <w:r>
        <w:rPr>
          <w:rFonts w:hint="eastAsia" w:ascii="黑体" w:hAnsi="微软雅黑" w:eastAsia="黑体"/>
          <w:color w:val="auto"/>
          <w:sz w:val="36"/>
          <w:szCs w:val="36"/>
          <w:lang w:val="en-US" w:eastAsia="zh-CN"/>
        </w:rPr>
        <w:t>常州办学点</w:t>
      </w:r>
      <w:r>
        <w:rPr>
          <w:rFonts w:hint="eastAsia" w:ascii="黑体" w:hAnsi="微软雅黑" w:eastAsia="黑体"/>
          <w:color w:val="auto"/>
          <w:sz w:val="36"/>
          <w:szCs w:val="36"/>
        </w:rPr>
        <w:t>五年制高等职业教育</w:t>
      </w:r>
    </w:p>
    <w:p>
      <w:pPr>
        <w:jc w:val="center"/>
        <w:rPr>
          <w:rFonts w:hint="eastAsia" w:ascii="黑体" w:hAnsi="微软雅黑" w:eastAsia="黑体"/>
          <w:color w:val="auto"/>
          <w:sz w:val="30"/>
          <w:szCs w:val="30"/>
        </w:rPr>
      </w:pPr>
      <w:r>
        <w:rPr>
          <w:rFonts w:hint="eastAsia" w:ascii="黑体" w:hAnsi="微软雅黑" w:eastAsia="黑体"/>
          <w:color w:val="auto"/>
          <w:sz w:val="30"/>
          <w:szCs w:val="30"/>
          <w:lang w:val="en-US" w:eastAsia="zh-CN"/>
        </w:rPr>
        <w:t>2021</w:t>
      </w:r>
      <w:r>
        <w:rPr>
          <w:rFonts w:hint="eastAsia" w:ascii="黑体" w:hAnsi="微软雅黑" w:eastAsia="黑体"/>
          <w:color w:val="auto"/>
          <w:sz w:val="30"/>
          <w:szCs w:val="30"/>
        </w:rPr>
        <w:t>级</w:t>
      </w:r>
      <w:r>
        <w:rPr>
          <w:rFonts w:hint="eastAsia" w:ascii="黑体" w:hAnsi="微软雅黑" w:eastAsia="黑体"/>
          <w:color w:val="auto"/>
          <w:sz w:val="30"/>
          <w:szCs w:val="30"/>
          <w:lang w:eastAsia="zh-CN"/>
        </w:rPr>
        <w:t>智能制造装备</w:t>
      </w:r>
      <w:r>
        <w:rPr>
          <w:rFonts w:hint="eastAsia" w:ascii="黑体" w:hAnsi="微软雅黑" w:eastAsia="黑体"/>
          <w:color w:val="auto"/>
          <w:sz w:val="30"/>
          <w:szCs w:val="30"/>
        </w:rPr>
        <w:t>专业实施性人才培养方案</w:t>
      </w:r>
    </w:p>
    <w:p>
      <w:pPr>
        <w:jc w:val="center"/>
        <w:rPr>
          <w:rFonts w:hint="default" w:ascii="黑体" w:hAnsi="微软雅黑" w:eastAsia="黑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微软雅黑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专业代码：</w:t>
      </w:r>
      <w:r>
        <w:rPr>
          <w:rFonts w:hint="eastAsia" w:ascii="黑体" w:hAnsi="微软雅黑" w:eastAsia="黑体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460201</w:t>
      </w:r>
    </w:p>
    <w:p>
      <w:pPr>
        <w:jc w:val="center"/>
        <w:rPr>
          <w:rFonts w:ascii="黑体" w:hAnsi="微软雅黑" w:eastAsia="黑体"/>
          <w:color w:val="auto"/>
          <w:sz w:val="18"/>
          <w:szCs w:val="18"/>
        </w:rPr>
      </w:pPr>
    </w:p>
    <w:p>
      <w:pPr>
        <w:spacing w:line="360" w:lineRule="auto"/>
        <w:ind w:left="551"/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一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专业名称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智能制造装备技术</w:t>
      </w:r>
      <w:r>
        <w:rPr>
          <w:rFonts w:hint="eastAsia" w:asciiTheme="minorEastAsia" w:hAnsiTheme="minorEastAsia" w:eastAsiaTheme="minorEastAsia"/>
          <w:color w:val="auto"/>
          <w:szCs w:val="21"/>
        </w:rPr>
        <w:t>（专业代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码：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460201</w:t>
      </w:r>
      <w:r>
        <w:rPr>
          <w:rFonts w:hint="eastAsia" w:asciiTheme="minorEastAsia" w:hAnsiTheme="minorEastAsia" w:eastAsiaTheme="minorEastAsia"/>
          <w:color w:val="auto"/>
          <w:szCs w:val="21"/>
        </w:rPr>
        <w:t>）</w:t>
      </w:r>
      <w:bookmarkStart w:id="0" w:name="_GoBack"/>
      <w:bookmarkEnd w:id="0"/>
    </w:p>
    <w:p>
      <w:pPr>
        <w:spacing w:line="360" w:lineRule="auto"/>
        <w:ind w:firstLine="472" w:firstLineChars="196"/>
        <w:rPr>
          <w:rFonts w:ascii="仿宋_GB2312" w:hAnsi="微软雅黑" w:eastAsia="仿宋_GB2312"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二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教育类型及学历层次、学制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教育类型：高等职业教育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学历层次：普通专科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学制：五年一贯制</w:t>
      </w:r>
    </w:p>
    <w:p>
      <w:pPr>
        <w:spacing w:line="360" w:lineRule="auto"/>
        <w:ind w:firstLine="472" w:firstLineChars="196"/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三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招生对象</w:t>
      </w:r>
    </w:p>
    <w:p>
      <w:pPr>
        <w:spacing w:line="36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应届初中毕业生</w:t>
      </w:r>
    </w:p>
    <w:p>
      <w:pPr>
        <w:spacing w:line="360" w:lineRule="auto"/>
        <w:ind w:firstLine="472" w:firstLineChars="196"/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四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培养目标</w:t>
      </w:r>
    </w:p>
    <w:p>
      <w:pPr>
        <w:spacing w:line="360" w:lineRule="auto"/>
        <w:ind w:firstLine="525" w:firstLineChars="250"/>
        <w:rPr>
          <w:rFonts w:ascii="仿宋_GB2312" w:hAnsi="微软雅黑" w:eastAsia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本专业培养与我国社会主义现代化建设要求相适应，</w:t>
      </w:r>
      <w:r>
        <w:rPr>
          <w:rFonts w:hint="eastAsia" w:ascii="宋体" w:hAnsi="宋体"/>
          <w:color w:val="auto"/>
        </w:rPr>
        <w:t>具有习近平新时代中国特色社会主义思想基础，德、智、体、美、劳全面发展，</w:t>
      </w:r>
      <w:r>
        <w:rPr>
          <w:rFonts w:hint="eastAsia" w:asciiTheme="minorEastAsia" w:hAnsiTheme="minorEastAsia" w:eastAsiaTheme="minorEastAsia"/>
          <w:color w:val="auto"/>
          <w:szCs w:val="21"/>
        </w:rPr>
        <w:t>具备良好的职业道德和职业素养，从事数控设备的安装、调试、运行使用、维护管理等工作，适应生产、建设、服务和管理一线需要的发展型、复合型和创新型的技术技能人才。</w:t>
      </w:r>
    </w:p>
    <w:p>
      <w:pPr>
        <w:spacing w:line="360" w:lineRule="auto"/>
        <w:rPr>
          <w:rFonts w:ascii="仿宋_GB2312" w:hAnsi="仿宋" w:eastAsia="仿宋_GB2312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Cs w:val="21"/>
        </w:rPr>
        <w:t xml:space="preserve">     </w:t>
      </w:r>
      <w:r>
        <w:rPr>
          <w:rFonts w:hint="eastAsia" w:ascii="黑体" w:hAnsi="黑体" w:eastAsia="黑体"/>
          <w:b/>
          <w:color w:val="auto"/>
          <w:sz w:val="24"/>
          <w:highlight w:val="darkGray"/>
        </w:rPr>
        <w:t>五</w:t>
      </w:r>
      <w:r>
        <w:rPr>
          <w:rFonts w:hint="eastAsia" w:ascii="仿宋_GB2312" w:hAnsi="仿宋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职业（岗位）面向、职业资格及继续学习专业</w:t>
      </w:r>
    </w:p>
    <w:p>
      <w:pPr>
        <w:spacing w:line="360" w:lineRule="auto"/>
        <w:ind w:firstLine="360" w:firstLineChars="15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（一）职业面向</w:t>
      </w:r>
    </w:p>
    <w:p>
      <w:pPr>
        <w:spacing w:line="300" w:lineRule="auto"/>
        <w:ind w:firstLine="525" w:firstLineChars="2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1</w:t>
      </w:r>
      <w:r>
        <w:rPr>
          <w:rFonts w:hint="eastAsia" w:asciiTheme="minorEastAsia" w:hAnsiTheme="minorEastAsia" w:eastAsiaTheme="minorEastAsia"/>
          <w:color w:val="auto"/>
          <w:szCs w:val="21"/>
        </w:rPr>
        <w:t>、核心工作岗位：数控设备的安装、操作、维护等工作。</w:t>
      </w:r>
    </w:p>
    <w:p>
      <w:pPr>
        <w:spacing w:line="300" w:lineRule="auto"/>
        <w:ind w:firstLine="525" w:firstLineChars="250"/>
        <w:rPr>
          <w:rFonts w:ascii="仿宋_GB2312" w:hAnsi="微软雅黑" w:eastAsia="仿宋_GB2312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Cs w:val="21"/>
        </w:rPr>
        <w:t>、其他工作岗位：数控设备销售、技术咨询、售后服务和技术管理等工作</w:t>
      </w:r>
      <w:r>
        <w:rPr>
          <w:rFonts w:hint="eastAsia" w:ascii="仿宋_GB2312" w:hAnsi="微软雅黑" w:eastAsia="仿宋_GB2312"/>
          <w:color w:val="auto"/>
          <w:sz w:val="24"/>
        </w:rPr>
        <w:t>。</w:t>
      </w:r>
    </w:p>
    <w:p>
      <w:pPr>
        <w:spacing w:line="360" w:lineRule="auto"/>
        <w:ind w:firstLine="360" w:firstLineChars="150"/>
        <w:rPr>
          <w:rFonts w:ascii="仿宋_GB2312" w:eastAsia="仿宋_GB2312"/>
          <w:b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（二）职业资格</w:t>
      </w:r>
    </w:p>
    <w:tbl>
      <w:tblPr>
        <w:tblStyle w:val="8"/>
        <w:tblpPr w:leftFromText="180" w:rightFromText="180" w:vertAnchor="text" w:horzAnchor="page" w:tblpX="1927" w:tblpY="63"/>
        <w:tblOverlap w:val="never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19"/>
        <w:gridCol w:w="2519"/>
        <w:gridCol w:w="168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证书名称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颁证单位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等级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8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国家计算机等级考试证书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教育部考试中心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一级（或以上）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任选其一 (必备)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8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江苏省高等学校计算机基础知识和应用能力证书</w:t>
            </w:r>
          </w:p>
        </w:tc>
        <w:tc>
          <w:tcPr>
            <w:tcW w:w="2519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江苏省高等学校计算机等级考试中心</w:t>
            </w:r>
          </w:p>
        </w:tc>
        <w:tc>
          <w:tcPr>
            <w:tcW w:w="1682" w:type="dxa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一级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电工证书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国家部委或行业协会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任选其二 (必备)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车工、铣工、</w:t>
            </w:r>
            <w:r>
              <w:rPr>
                <w:rFonts w:hint="eastAsia"/>
                <w:color w:val="auto"/>
                <w:sz w:val="20"/>
                <w:szCs w:val="20"/>
              </w:rPr>
              <w:t>钳工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等机械</w:t>
            </w:r>
            <w:r>
              <w:rPr>
                <w:rFonts w:hint="eastAsia"/>
                <w:color w:val="auto"/>
                <w:sz w:val="20"/>
                <w:szCs w:val="20"/>
              </w:rPr>
              <w:t>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国家部委或行业协会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  <w:t>5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auto"/>
                <w:sz w:val="20"/>
                <w:szCs w:val="20"/>
              </w:rPr>
              <w:t>CAD</w:t>
            </w:r>
            <w:r>
              <w:rPr>
                <w:rFonts w:hint="eastAsia"/>
                <w:color w:val="auto"/>
                <w:sz w:val="20"/>
                <w:szCs w:val="20"/>
              </w:rPr>
              <w:t>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国家部委、行业协会或授权企业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</w:pPr>
            <w:r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  <w:t>6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eastAsia="zh-CN"/>
              </w:rPr>
              <w:t>制图员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国家部委、行业协会或授权企业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color w:val="auto"/>
                <w:sz w:val="20"/>
                <w:szCs w:val="20"/>
              </w:rPr>
              <w:t>8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  <w:t>可编程控制设计师证书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国家部委、行业协会或授权企业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8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  <w:szCs w:val="20"/>
                <w:lang w:eastAsia="zh-CN"/>
              </w:rPr>
              <w:t>工业机器人相关证书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国家部委、行业协会或授权企业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default" w:eastAsia="宋体" w:cs="Times New Roman" w:asciiTheme="minorEastAsia" w:hAnsiTheme="minor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中级或高级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或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1+X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_GB2312" w:eastAsia="仿宋_GB2312"/>
          <w:b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（三）继续学习专业</w:t>
      </w:r>
    </w:p>
    <w:p>
      <w:pPr>
        <w:spacing w:line="360" w:lineRule="auto"/>
        <w:ind w:firstLine="525" w:firstLineChars="250"/>
        <w:rPr>
          <w:rFonts w:ascii="仿宋_GB2312" w:eastAsia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机械设计制造及其自动化、电气工程及自动化等本科相关专业。</w:t>
      </w:r>
    </w:p>
    <w:p>
      <w:pPr>
        <w:spacing w:line="360" w:lineRule="auto"/>
        <w:ind w:firstLine="354" w:firstLineChars="147"/>
        <w:rPr>
          <w:rFonts w:ascii="仿宋_GB2312" w:hAnsi="仿宋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六</w:t>
      </w:r>
      <w:r>
        <w:rPr>
          <w:rFonts w:hint="eastAsia" w:ascii="仿宋_GB2312" w:hAnsi="仿宋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综合素质及职业能力</w:t>
      </w:r>
    </w:p>
    <w:p>
      <w:pPr>
        <w:spacing w:line="360" w:lineRule="auto"/>
        <w:ind w:firstLine="352" w:firstLineChars="147"/>
        <w:rPr>
          <w:rFonts w:ascii="仿宋_GB2312" w:hAnsi="仿宋" w:eastAsia="仿宋_GB2312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4"/>
        </w:rPr>
        <w:t>（一）综合素质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1、思想道德素质：坚持四项基本原则，有坚定的政治方向，事业心强，有奉献精神；</w:t>
      </w:r>
      <w:r>
        <w:rPr>
          <w:rFonts w:hint="eastAsia" w:ascii="宋体" w:hAnsi="宋体"/>
          <w:color w:val="auto"/>
        </w:rPr>
        <w:t>能践行习近平新时代中国特色社会主义思想，</w:t>
      </w:r>
      <w:r>
        <w:rPr>
          <w:rFonts w:hint="eastAsia" w:asciiTheme="minorEastAsia" w:hAnsiTheme="minorEastAsia" w:eastAsiaTheme="minorEastAsia"/>
          <w:color w:val="auto"/>
          <w:szCs w:val="21"/>
        </w:rPr>
        <w:t>具有正确的世界观、人生观和价值观，遵守法律法规，为人诚实、正直、谦虚，具有较强的社会责任感和良好的职业操守，严谨务实，爱岗敬业，团结协作。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2、科学文化素质：具有本专业必需的文化基础、良好的人文素养和审美能力；知识面宽广，有自主学习和可持续发展的能力；有良好的表达能力和沟通能力；具有获取、分析和处理信息的能力；具有严谨务实的工作作风，具有终生学习理念，能够不断学习新知识、新技能。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3、专业素质：具有从事专业工作所必需的专业知识和能力；具有遵守规程、文明操作、一丝不苟、质量第一的职业习惯；具有安全生产、节约资源、保护环境意识；具有科学探索的精神和创新、创业的初步能力，初步形成适应社会主义市场经济需要的就业观。</w:t>
      </w:r>
    </w:p>
    <w:p>
      <w:pPr>
        <w:spacing w:line="360" w:lineRule="auto"/>
        <w:ind w:firstLine="420" w:firstLineChars="200"/>
        <w:jc w:val="left"/>
        <w:rPr>
          <w:rFonts w:ascii="仿宋_GB2312" w:hAnsi="仿宋" w:eastAsia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4、身心素质：拥有健康的体魄，能适应岗位对体质的要求；具有健康的心理和乐观的人生态度；朝气蓬勃，积极向上，奋发进取，思路开阔、敏捷，善于处理突发问题；具有良好的团队合作精神和客户服务意识；养成自信、自律、敬业的心理品质。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（二）职业能力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1</w:t>
      </w:r>
      <w:r>
        <w:rPr>
          <w:rFonts w:hint="eastAsia" w:asciiTheme="minorEastAsia" w:hAnsiTheme="minorEastAsia" w:eastAsiaTheme="minorEastAsia"/>
          <w:color w:val="auto"/>
          <w:szCs w:val="21"/>
        </w:rPr>
        <w:t>、有理解、审查图纸和技术文件，组织设备的安装、调试过程的技术管理能力；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2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、具有机床电气控制系统设计、数控设备安装、调试、运行以及分析现场运行事故和处理事故的能力；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3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、具有数控设备的操作能力；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4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、具有运用新技术、新设备进行技术改造、技术创新的意识和初步能力；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asciiTheme="minorEastAsia" w:hAnsiTheme="minorEastAsia" w:eastAsiaTheme="minorEastAsia"/>
          <w:color w:val="auto"/>
          <w:szCs w:val="21"/>
        </w:rPr>
        <w:t>5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、具有数控设备的销售和管理能力；</w:t>
      </w:r>
      <w:r>
        <w:rPr>
          <w:rFonts w:asciiTheme="minorEastAsia" w:hAnsiTheme="minorEastAsia" w:eastAsiaTheme="minorEastAsia"/>
          <w:color w:val="auto"/>
          <w:szCs w:val="21"/>
        </w:rPr>
        <w:t xml:space="preserve"> </w:t>
      </w:r>
    </w:p>
    <w:p>
      <w:pPr>
        <w:spacing w:line="360" w:lineRule="auto"/>
        <w:ind w:firstLine="420" w:firstLineChars="200"/>
        <w:jc w:val="left"/>
        <w:rPr>
          <w:rFonts w:ascii="仿宋" w:hAnsi="仿宋" w:eastAsia="仿宋" w:cs="仿宋"/>
          <w:color w:val="auto"/>
          <w:sz w:val="24"/>
          <w:lang w:bidi="ar"/>
        </w:rPr>
      </w:pPr>
      <w:r>
        <w:rPr>
          <w:rFonts w:asciiTheme="minorEastAsia" w:hAnsiTheme="minorEastAsia" w:eastAsiaTheme="minorEastAsia"/>
          <w:color w:val="auto"/>
          <w:szCs w:val="21"/>
        </w:rPr>
        <w:t>6</w:t>
      </w:r>
      <w:r>
        <w:rPr>
          <w:rFonts w:hint="eastAsia" w:asciiTheme="minorEastAsia" w:hAnsiTheme="minorEastAsia" w:eastAsiaTheme="minorEastAsia"/>
          <w:color w:val="auto"/>
          <w:szCs w:val="21"/>
        </w:rPr>
        <w:t>、具有实际工程需要的计划、总结、报告、说明书、论文、合同、公文等应用文的写作能力及计算机文字、表格、图形处理能力。</w:t>
      </w:r>
    </w:p>
    <w:p>
      <w:pPr>
        <w:spacing w:line="360" w:lineRule="auto"/>
        <w:ind w:firstLine="354" w:firstLineChars="147"/>
        <w:rPr>
          <w:rFonts w:ascii="仿宋" w:hAnsi="仿宋" w:eastAsia="仿宋"/>
          <w:color w:val="auto"/>
          <w:szCs w:val="21"/>
        </w:rPr>
      </w:pPr>
      <w:r>
        <w:rPr>
          <w:rFonts w:hint="eastAsia" w:ascii="黑体" w:hAnsi="黑体" w:eastAsia="黑体"/>
          <w:b/>
          <w:color w:val="auto"/>
          <w:sz w:val="24"/>
          <w:highlight w:val="darkGray"/>
        </w:rPr>
        <w:t>七</w:t>
      </w:r>
      <w:r>
        <w:rPr>
          <w:rFonts w:hint="eastAsia" w:ascii="仿宋_GB2312" w:hAnsi="仿宋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专业主要课程及内容要求</w:t>
      </w:r>
    </w:p>
    <w:p>
      <w:pPr>
        <w:spacing w:line="360" w:lineRule="auto"/>
        <w:ind w:firstLine="240" w:firstLineChars="100"/>
        <w:rPr>
          <w:rFonts w:ascii="仿宋_GB2312" w:hAnsi="微软雅黑"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（一）机械制图（96学时</w:t>
      </w:r>
      <w:r>
        <w:rPr>
          <w:rFonts w:hint="eastAsia" w:ascii="仿宋_GB2312" w:hAnsi="微软雅黑" w:eastAsia="仿宋_GB2312"/>
          <w:color w:val="auto"/>
          <w:sz w:val="24"/>
        </w:rPr>
        <w:t>）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（1）掌握国家标准有关制图的规定、制图工具（仪器）的使用方法；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（2）掌握点、直线和平面的投影规律和方法；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（3）掌握基本形体及其表面交线的求解方法；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（4）掌握组合体的作图方法和正等轴测图的作图方法；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（5）掌握机件常用的表达方法；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（6）掌握标准件及常用件，特别是螺纹紧固件的画法；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（7）掌握典型零件图的画法；</w:t>
      </w:r>
    </w:p>
    <w:p>
      <w:pPr>
        <w:spacing w:line="360" w:lineRule="auto"/>
        <w:ind w:firstLine="420" w:firstLineChars="200"/>
        <w:jc w:val="left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（8）了解装配图的内容，掌握装配图的画法。</w:t>
      </w:r>
    </w:p>
    <w:p>
      <w:pPr>
        <w:spacing w:line="360" w:lineRule="auto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   </w:t>
      </w:r>
      <w:r>
        <w:rPr>
          <w:rFonts w:asciiTheme="minorEastAsia" w:hAnsiTheme="minorEastAsia" w:eastAsiaTheme="minorEastAsia"/>
          <w:b/>
          <w:color w:val="auto"/>
          <w:szCs w:val="21"/>
        </w:rPr>
        <w:t>2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、教学实施建议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（1）以国家最新制图标准实施教学；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（2）制图技巧训练与机械测绘结合实施教学；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（3）特别重视机械图样识读能力的培养；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考试</w:t>
      </w:r>
    </w:p>
    <w:p>
      <w:pPr>
        <w:spacing w:line="360" w:lineRule="auto"/>
        <w:ind w:firstLine="240" w:firstLineChars="100"/>
        <w:rPr>
          <w:rFonts w:ascii="仿宋_GB2312" w:hAnsi="微软雅黑"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（二）计算机绘图（64学时）</w:t>
      </w:r>
      <w:r>
        <w:rPr>
          <w:rFonts w:hint="eastAsia" w:ascii="仿宋_GB2312" w:hAnsi="微软雅黑" w:eastAsia="仿宋_GB2312"/>
          <w:color w:val="auto"/>
          <w:sz w:val="24"/>
        </w:rPr>
        <w:t xml:space="preserve"> 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（1）熟练掌握常用的二维基本绘图命令的操作与使用；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（2）能综合应用计算机绘图软件功能，完成工程图纸的设计与绘制；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（3）能熟练应用常用的三维绘图和三维编辑命令完成三维实体的建模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>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（1）以国家最新制图标准实施教学；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（2）制图技巧训练、CAD软件运用、机械测绘三者结合实施教学；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（3）可通过社会认证鉴定，使学生取得C</w:t>
      </w:r>
      <w:r>
        <w:rPr>
          <w:rFonts w:asciiTheme="minorEastAsia" w:hAnsiTheme="minorEastAsia" w:eastAsiaTheme="minorEastAsia"/>
          <w:color w:val="auto"/>
          <w:szCs w:val="21"/>
        </w:rPr>
        <w:t>AD</w:t>
      </w:r>
      <w:r>
        <w:rPr>
          <w:rFonts w:hint="eastAsia" w:asciiTheme="minorEastAsia" w:hAnsiTheme="minorEastAsia" w:eastAsiaTheme="minorEastAsia"/>
          <w:color w:val="auto"/>
          <w:szCs w:val="21"/>
        </w:rPr>
        <w:t>相应等级证书。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（三）电工电子技术（128学时）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（1）掌握电路的基本概念、定律、定理；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（2）掌握交、直流电路的分析计算方法；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（3）掌握典型继电接触控制电路；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（4）掌握模拟电路和数字电路常见故障的分析及调试方法；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（5）掌握常用仪器仪表的使用方法；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（6）熟悉变压器、电动机参数和安全用电；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（7）熟悉常用半导体元件；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（8）了解可编程序控制器；了解数模转换。</w:t>
      </w:r>
    </w:p>
    <w:p>
      <w:pPr>
        <w:spacing w:line="360" w:lineRule="auto"/>
        <w:ind w:firstLine="48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（1）不同模块可由不同的教师分别任教；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（2）简化原理阐述和繁冗计算，以应用性教学为主。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（四）机械基础（96学时）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（1）掌握常用工程材料的种类、牌号性能和应用；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（2）掌握构件的受力分析、受力变形和破坏的规律及进行强度计算；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（3）掌握常用机构及通用零部件的工作原理、类型、特点及应用等基本知识，掌握常用机构及通用零部件的维护知识,能对一般机械传动系统进行简单的分析和计算。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（1）本课程为综合化模块结构课程，不同模块可由不同的教师分别任教；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（3）简化原理阐述和繁冗计算，以应用性教学为主。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（五）电气电机拖动（80学时）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（1）理解交流异步电机和直流电机的结构、原理、特点及应用场合，了解控制电机和同步电动机的基本知识；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（2）掌握常用低压电器的结构、原理、型号规格、用途和选用；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（3）掌握继电器—接触器控制线路基本环节，初步掌握各种普通机床的电气控制原理；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（4）能为一般控制要求的电气设备进行电气线路设计。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（2）简化原理阐述和繁冗计算，以应用性教学为主。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（六）测试与传感技术（80学时）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（1）掌握常用传感器的工作原理、基本结构、测量电路；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（2）熟悉非电量测量的基本知识，熟悉工业过程主要参数的检测方法；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（3）了解传感器的发展趋势及在工业生产及科学技术方面的广泛应用。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（1）简化原理阐述和繁冗计算，以应用性教学为主；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（2）课题选择应与工业应用项目相结合。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="黑体" w:hAnsi="黑体" w:eastAsia="黑体"/>
          <w:color w:val="auto"/>
          <w:sz w:val="24"/>
        </w:rPr>
        <w:t>（七）单片机应用技术（80学时）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numPr>
          <w:ilvl w:val="0"/>
          <w:numId w:val="1"/>
        </w:num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熟悉单片机MCS-51的结构、引脚功能及工作原理；</w:t>
      </w:r>
    </w:p>
    <w:p>
      <w:pPr>
        <w:numPr>
          <w:ilvl w:val="0"/>
          <w:numId w:val="1"/>
        </w:num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掌握单片机程序设计和接口应用的基本方法；</w:t>
      </w:r>
    </w:p>
    <w:p>
      <w:pPr>
        <w:numPr>
          <w:ilvl w:val="0"/>
          <w:numId w:val="1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具有初步的单片机控制应用系统硬件和软件设计能力。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（2）课题选择能与工业应用项目相结合。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numPr>
          <w:ilvl w:val="255"/>
          <w:numId w:val="0"/>
        </w:numPr>
        <w:spacing w:line="360" w:lineRule="auto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 xml:space="preserve">   </w:t>
      </w:r>
      <w:r>
        <w:rPr>
          <w:rFonts w:hint="eastAsia" w:ascii="黑体" w:hAnsi="黑体" w:eastAsia="黑体"/>
          <w:color w:val="auto"/>
          <w:sz w:val="24"/>
        </w:rPr>
        <w:t>（八）气动液压技术（80学时）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（1）掌握各类液压与气压元件的功用、组成、工作原理和应用；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（2）具有阅读并分析典型液压与气压传动系统组成、工作原理及特点的能力；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（3）根据设备要求，合理选用液压元件和气压元件，并进行简单液压与气压传动装置验算；</w:t>
      </w:r>
    </w:p>
    <w:p>
      <w:pPr>
        <w:spacing w:line="360" w:lineRule="auto"/>
        <w:ind w:left="420"/>
        <w:rPr>
          <w:rFonts w:hint="eastAsia"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（4）具有初步的液压与气压传动系统调试与排故的能力。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8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（1）简化原理阐述和繁冗计算，以应用性教学为主；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（2）课题选择能与工业应用项目相结合。</w:t>
      </w:r>
    </w:p>
    <w:p>
      <w:pPr>
        <w:numPr>
          <w:ilvl w:val="255"/>
          <w:numId w:val="0"/>
        </w:numPr>
        <w:spacing w:line="360" w:lineRule="auto"/>
        <w:ind w:left="420" w:left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（九）PLC应用技术（96学时）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（1）掌握PLC的基本组成及工作原理，理解PLC的性能规格、结构类型及控制功能，具有合理选择PLC的能力；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（2）掌握PLC的基本控制功能，具有阅读和分析PLC控制程序（梯形图）的能力；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（3）掌握PLC编程软件的使用，具有进行PLC程序调试的能力；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（4）掌握PLC的功能控制指令、PLC控制系统设计方法，具有对一般PLC控制系统软、硬件的设计能力；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（5）学会PLC控制系统故障特性与分析，具有PLC控制系统故障诊断与维护知识。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（2）简化原理阐述，以应用性教学为主；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（3）课题选择与工业应用项目相结合的为主。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考试</w:t>
      </w:r>
    </w:p>
    <w:p>
      <w:pPr>
        <w:spacing w:line="360" w:lineRule="auto"/>
        <w:ind w:firstLine="240" w:firstLineChars="1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="黑体" w:hAnsi="黑体" w:eastAsia="黑体"/>
          <w:color w:val="auto"/>
          <w:sz w:val="24"/>
        </w:rPr>
        <w:t>（十）数控机床及应用技术（96学时）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（1）了解数控的组成、特点及发展趋势；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（2）具有机床数控系统方面的基本理论与基本知识；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（3）掌握数控机床伺服系统的工作过程及常用的伺服元件；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（4）掌握数控机床机械结构的特点及数控机床的传动系统、换刀装置及回转工作台的机械结构；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（5）初步具有分析现场生产问题和进行数控机床选用、调试和维修的能力</w:t>
      </w:r>
    </w:p>
    <w:p>
      <w:pPr>
        <w:spacing w:line="360" w:lineRule="auto"/>
        <w:ind w:firstLine="48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（6）能应用数控加工程序编制的基本知识，手工编制加工程序。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（2）简化原理阐述和繁冗计算，以应用性教学为主；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（3）教学中加强学生分析能力和动手能力培养。</w:t>
      </w:r>
    </w:p>
    <w:p>
      <w:pPr>
        <w:spacing w:line="360" w:lineRule="auto"/>
        <w:ind w:firstLine="422" w:firstLineChars="20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>：</w:t>
      </w:r>
      <w:r>
        <w:rPr>
          <w:rFonts w:hint="eastAsia" w:asciiTheme="minorEastAsia" w:hAnsiTheme="minorEastAsia" w:eastAsiaTheme="minorEastAsia"/>
          <w:color w:val="auto"/>
          <w:szCs w:val="21"/>
        </w:rPr>
        <w:t>考试</w:t>
      </w:r>
    </w:p>
    <w:p>
      <w:pPr>
        <w:spacing w:line="360" w:lineRule="auto"/>
        <w:ind w:firstLine="240" w:firstLineChars="100"/>
        <w:rPr>
          <w:rFonts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</w:rPr>
        <w:t>（十一）CAD/CAM技术应用（80学时）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（1）初步掌握UG软件的基本操作技能；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（2）掌握零件三维造型的方法和命令，完成简单零件的三维造型；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  <w:lang w:bidi="ar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（3）掌握自动编程的方法与命令，能够设置相应的数控加工参数，能够进行简单零件数控加工程序的编制。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left="42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（1）本课程为综合化模块结构课程，不同模块可由不同的教师分别任教；</w:t>
      </w:r>
    </w:p>
    <w:p>
      <w:pPr>
        <w:spacing w:line="360" w:lineRule="auto"/>
        <w:ind w:left="42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（2）课程实践性较强，宜采用理实一体化或项目教学法</w:t>
      </w:r>
      <w:r>
        <w:rPr>
          <w:rFonts w:hint="eastAsia" w:ascii="仿宋_GB2312" w:hAnsi="微软雅黑" w:eastAsia="仿宋_GB2312" w:cs="仿宋_GB2312"/>
          <w:color w:val="auto"/>
          <w:sz w:val="24"/>
          <w:lang w:bidi="ar"/>
        </w:rPr>
        <w:t>；</w:t>
      </w: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spacing w:line="360" w:lineRule="auto"/>
        <w:ind w:firstLine="240" w:firstLineChars="100"/>
        <w:rPr>
          <w:rFonts w:hint="eastAsia" w:ascii="黑体" w:hAnsi="黑体" w:eastAsia="黑体"/>
          <w:color w:val="auto"/>
          <w:sz w:val="24"/>
        </w:rPr>
      </w:pPr>
      <w:r>
        <w:rPr>
          <w:rFonts w:hint="eastAsia" w:ascii="黑体" w:hAnsi="黑体" w:eastAsia="黑体"/>
          <w:color w:val="auto"/>
          <w:sz w:val="24"/>
          <w:lang w:eastAsia="zh-CN"/>
        </w:rPr>
        <w:t>（十二）</w:t>
      </w:r>
      <w:r>
        <w:rPr>
          <w:rFonts w:hint="eastAsia" w:ascii="黑体" w:hAnsi="黑体" w:eastAsia="黑体"/>
          <w:color w:val="auto"/>
          <w:sz w:val="24"/>
        </w:rPr>
        <w:t>电机调速运动控制技术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1、主要教学内容及要求</w:t>
      </w:r>
    </w:p>
    <w:p>
      <w:pPr>
        <w:spacing w:line="360" w:lineRule="auto"/>
        <w:ind w:left="42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（1）三相交流异步电动机的变频调速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技术及应用</w:t>
      </w:r>
      <w:r>
        <w:rPr>
          <w:rFonts w:hint="eastAsia" w:asciiTheme="minorEastAsia" w:hAnsiTheme="minorEastAsia" w:eastAsiaTheme="minorEastAsia"/>
          <w:color w:val="auto"/>
          <w:szCs w:val="21"/>
        </w:rPr>
        <w:t>；</w:t>
      </w:r>
    </w:p>
    <w:p>
      <w:pPr>
        <w:spacing w:line="360" w:lineRule="auto"/>
        <w:ind w:left="42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auto"/>
          <w:szCs w:val="21"/>
        </w:rPr>
        <w:t>）交流伺服电动机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、步进电机</w:t>
      </w:r>
      <w:r>
        <w:rPr>
          <w:rFonts w:hint="eastAsia" w:asciiTheme="minorEastAsia" w:hAnsiTheme="minorEastAsia" w:eastAsiaTheme="minorEastAsia"/>
          <w:color w:val="auto"/>
          <w:szCs w:val="21"/>
        </w:rPr>
        <w:t>的控制技术及应用；</w:t>
      </w:r>
    </w:p>
    <w:p>
      <w:pPr>
        <w:spacing w:line="360" w:lineRule="auto"/>
        <w:ind w:left="420"/>
        <w:rPr>
          <w:rFonts w:hint="eastAsia" w:asciiTheme="minorEastAsia" w:hAnsiTheme="minorEastAsia" w:eastAsiaTheme="minorEastAsia"/>
          <w:color w:val="auto"/>
          <w:szCs w:val="21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color w:val="auto"/>
          <w:szCs w:val="21"/>
        </w:rPr>
        <w:t>）直流电动机调速技术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及多速电机</w:t>
      </w:r>
      <w:r>
        <w:rPr>
          <w:rFonts w:hint="eastAsia" w:asciiTheme="minorEastAsia" w:hAnsiTheme="minorEastAsia" w:eastAsiaTheme="minorEastAsia"/>
          <w:color w:val="auto"/>
          <w:szCs w:val="21"/>
        </w:rPr>
        <w:t>介绍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2、教学实施建议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（1）实践性较强的教学模块，宜采用理实一体化或项目教学法；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（2）简化原理阐述，以应用性教学为主；</w:t>
      </w:r>
    </w:p>
    <w:p>
      <w:pPr>
        <w:spacing w:line="360" w:lineRule="auto"/>
        <w:ind w:firstLine="420" w:firstLineChars="200"/>
        <w:rPr>
          <w:rFonts w:ascii="仿宋_GB2312" w:hAnsi="微软雅黑" w:eastAsia="仿宋_GB2312" w:cs="仿宋_GB2312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（3）课题选择与工业应用项目相结合的为主。</w:t>
      </w: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3、考核方法：</w:t>
      </w:r>
      <w:r>
        <w:rPr>
          <w:rFonts w:hint="eastAsia" w:asciiTheme="minorEastAsia" w:hAnsiTheme="minorEastAsia" w:eastAsiaTheme="minorEastAsia"/>
          <w:color w:val="auto"/>
          <w:szCs w:val="21"/>
        </w:rPr>
        <w:t>考查</w:t>
      </w:r>
    </w:p>
    <w:p>
      <w:pPr>
        <w:rPr>
          <w:rFonts w:asciiTheme="minorEastAsia" w:hAnsiTheme="minorEastAsia" w:eastAsiaTheme="minorEastAsia"/>
          <w:b/>
          <w:color w:val="auto"/>
          <w:sz w:val="24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八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“形势与政策”课说明</w:t>
      </w:r>
    </w:p>
    <w:p>
      <w:pPr>
        <w:spacing w:line="300" w:lineRule="auto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1.</w:t>
      </w:r>
      <w:r>
        <w:rPr>
          <w:rFonts w:hint="eastAsia"/>
          <w:color w:val="auto"/>
          <w:szCs w:val="21"/>
        </w:rPr>
        <w:t xml:space="preserve"> </w:t>
      </w:r>
      <w:r>
        <w:rPr>
          <w:color w:val="auto"/>
          <w:szCs w:val="21"/>
        </w:rPr>
        <w:t>“形势与政策”课由</w:t>
      </w:r>
      <w:r>
        <w:rPr>
          <w:rFonts w:hint="eastAsia"/>
          <w:color w:val="auto"/>
          <w:szCs w:val="21"/>
        </w:rPr>
        <w:t>省校</w:t>
      </w:r>
      <w:r>
        <w:rPr>
          <w:color w:val="auto"/>
          <w:szCs w:val="21"/>
        </w:rPr>
        <w:t>马克思主义学院依据教育部每学期印发的《高校“形式与政策”课教学要点》</w:t>
      </w:r>
      <w:r>
        <w:rPr>
          <w:rFonts w:hint="eastAsia"/>
          <w:color w:val="auto"/>
          <w:szCs w:val="21"/>
        </w:rPr>
        <w:t>统一</w:t>
      </w:r>
      <w:r>
        <w:rPr>
          <w:color w:val="auto"/>
          <w:szCs w:val="21"/>
        </w:rPr>
        <w:t>安排教学</w:t>
      </w:r>
      <w:r>
        <w:rPr>
          <w:rFonts w:hint="eastAsia"/>
          <w:color w:val="auto"/>
          <w:szCs w:val="21"/>
        </w:rPr>
        <w:t>内容，各办学点做好具体教学运行及教学管理工作。</w:t>
      </w:r>
    </w:p>
    <w:p>
      <w:pPr>
        <w:ind w:firstLine="420" w:firstLineChars="200"/>
        <w:rPr>
          <w:rFonts w:hint="eastAsia"/>
          <w:color w:val="auto"/>
          <w:szCs w:val="21"/>
        </w:rPr>
      </w:pPr>
      <w:r>
        <w:rPr>
          <w:color w:val="auto"/>
          <w:szCs w:val="21"/>
        </w:rPr>
        <w:t>2.</w:t>
      </w:r>
      <w:r>
        <w:rPr>
          <w:rFonts w:hint="eastAsia"/>
          <w:color w:val="auto"/>
          <w:szCs w:val="21"/>
        </w:rPr>
        <w:t xml:space="preserve"> </w:t>
      </w:r>
      <w:r>
        <w:rPr>
          <w:color w:val="auto"/>
          <w:szCs w:val="21"/>
        </w:rPr>
        <w:t>“形势与政策”课每学期开课不低于8学时，共计1学分。</w:t>
      </w:r>
    </w:p>
    <w:p>
      <w:pPr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4"/>
          <w:highlight w:val="darkGray"/>
        </w:rPr>
        <w:t>九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教学进程表（见附件）</w:t>
      </w:r>
    </w:p>
    <w:p>
      <w:pPr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教学时间分配表（按周分配），如下表所示</w:t>
      </w:r>
    </w:p>
    <w:tbl>
      <w:tblPr>
        <w:tblStyle w:val="9"/>
        <w:tblW w:w="8276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2" w:space="0"/>
          <w:insideV w:val="single" w:color="000000" w:themeColor="text1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696"/>
        <w:gridCol w:w="698"/>
        <w:gridCol w:w="2597"/>
        <w:gridCol w:w="828"/>
        <w:gridCol w:w="833"/>
        <w:gridCol w:w="698"/>
        <w:gridCol w:w="698"/>
        <w:gridCol w:w="698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学期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学期周数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理论教学周数</w:t>
            </w:r>
          </w:p>
        </w:tc>
        <w:tc>
          <w:tcPr>
            <w:tcW w:w="3425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rFonts w:ascii="仿宋_GB2312" w:eastAsia="仿宋_GB2312" w:hAnsiTheme="minorHAnsi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实训教学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入学教育与军训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公益劳动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考试周数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机动周数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</w:tblPrEx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内容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Cs w:val="21"/>
              </w:rPr>
              <w:t>周数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一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二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6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计算机绘图实训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三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金工实训1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四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电工电子实训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五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  <w:lang w:eastAsia="zh-CN"/>
              </w:rPr>
              <w:t>维修电工实训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六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PLC实训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七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2597" w:type="dxa"/>
            <w:tcBorders>
              <w:bottom w:val="single" w:color="000000" w:themeColor="text1" w:sz="2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数控操作应用实训1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="宋体" w:hAnsi="宋体" w:eastAsia="宋体" w:cstheme="minorBidi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theme="minorBidi"/>
                <w:color w:val="auto"/>
                <w:sz w:val="18"/>
                <w:szCs w:val="18"/>
              </w:rPr>
              <w:t>八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2597" w:type="dxa"/>
            <w:tcBorders>
              <w:bottom w:val="single" w:color="000000" w:themeColor="text1" w:sz="2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数控操作应用实训2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="仿宋_GB2312" w:eastAsia="仿宋_GB2312" w:hAnsiTheme="minorHAnsi" w:cstheme="minorBidi"/>
                <w:color w:val="auto"/>
                <w:sz w:val="24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tcBorders>
              <w:top w:val="single" w:color="000000" w:themeColor="text1" w:sz="2" w:space="0"/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CAD/CAM技术应用实训</w:t>
            </w: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0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Bidi"/>
                <w:color w:val="auto"/>
                <w:sz w:val="18"/>
                <w:szCs w:val="18"/>
              </w:rPr>
              <w:t>九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5</w:t>
            </w:r>
          </w:p>
        </w:tc>
        <w:tc>
          <w:tcPr>
            <w:tcW w:w="2597" w:type="dxa"/>
            <w:tcBorders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金工实训2</w:t>
            </w: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3</w:t>
            </w:r>
          </w:p>
        </w:tc>
        <w:tc>
          <w:tcPr>
            <w:tcW w:w="833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</w:p>
        </w:tc>
        <w:tc>
          <w:tcPr>
            <w:tcW w:w="698" w:type="dxa"/>
            <w:vMerge w:val="restart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实训</w:t>
            </w: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hint="eastAsia" w:asciiTheme="minorHAnsi" w:hAnsiTheme="minorHAnsi" w:eastAsiaTheme="minorEastAsia" w:cstheme="minorBidi"/>
                <w:color w:val="auto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lang w:val="en-US" w:eastAsia="zh-CN"/>
              </w:rPr>
              <w:t>4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530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2597" w:type="dxa"/>
            <w:tcBorders>
              <w:top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毕业设计（毕业作业）</w:t>
            </w:r>
          </w:p>
        </w:tc>
        <w:tc>
          <w:tcPr>
            <w:tcW w:w="828" w:type="dxa"/>
            <w:tcBorders>
              <w:top w:val="single" w:color="auto" w:sz="4" w:space="0"/>
            </w:tcBorders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4</w:t>
            </w:r>
          </w:p>
        </w:tc>
        <w:tc>
          <w:tcPr>
            <w:tcW w:w="833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Merge w:val="continue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Bidi"/>
                <w:color w:val="auto"/>
                <w:sz w:val="18"/>
                <w:szCs w:val="18"/>
              </w:rPr>
              <w:t>十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0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sz w:val="18"/>
                <w:szCs w:val="18"/>
              </w:rPr>
              <w:t>顶岗实习</w:t>
            </w: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14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6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EastAsia" w:hAnsiTheme="minorEastAsia" w:eastAsiaTheme="minorEastAsia" w:cstheme="minorBidi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Bidi"/>
                <w:color w:val="auto"/>
                <w:sz w:val="18"/>
                <w:szCs w:val="18"/>
              </w:rPr>
              <w:t>总计</w:t>
            </w:r>
          </w:p>
        </w:tc>
        <w:tc>
          <w:tcPr>
            <w:tcW w:w="696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200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1</w:t>
            </w:r>
            <w:r>
              <w:rPr>
                <w:rFonts w:asciiTheme="minorHAnsi" w:hAnsiTheme="minorHAnsi" w:eastAsiaTheme="minorEastAsia" w:cstheme="minorBidi"/>
                <w:color w:val="auto"/>
              </w:rPr>
              <w:t>22</w:t>
            </w:r>
          </w:p>
        </w:tc>
        <w:tc>
          <w:tcPr>
            <w:tcW w:w="2597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beforeAutospacing="1" w:afterAutospacing="1"/>
              <w:jc w:val="center"/>
              <w:rPr>
                <w:rFonts w:hint="default" w:asciiTheme="minorHAnsi" w:hAnsiTheme="minorHAnsi" w:eastAsiaTheme="minorEastAsia" w:cstheme="minorBidi"/>
                <w:color w:val="auto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  <w:lang w:val="en-US" w:eastAsia="zh-CN"/>
              </w:rPr>
              <w:t>48</w:t>
            </w:r>
          </w:p>
        </w:tc>
        <w:tc>
          <w:tcPr>
            <w:tcW w:w="833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2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hint="eastAsia" w:asciiTheme="minorHAnsi" w:hAnsiTheme="minorHAnsi" w:eastAsiaTheme="minorEastAsia" w:cstheme="minorBidi"/>
                <w:color w:val="auto"/>
              </w:rPr>
              <w:t>9</w:t>
            </w:r>
          </w:p>
        </w:tc>
        <w:tc>
          <w:tcPr>
            <w:tcW w:w="698" w:type="dxa"/>
            <w:vAlign w:val="center"/>
          </w:tcPr>
          <w:p>
            <w:pPr>
              <w:spacing w:beforeAutospacing="1" w:afterAutospacing="1"/>
              <w:jc w:val="center"/>
              <w:rPr>
                <w:rFonts w:asciiTheme="minorHAnsi" w:hAnsiTheme="minorHAnsi" w:eastAsiaTheme="minorEastAsia" w:cstheme="minorBidi"/>
                <w:color w:val="auto"/>
              </w:rPr>
            </w:pPr>
            <w:r>
              <w:rPr>
                <w:rFonts w:asciiTheme="minorHAnsi" w:hAnsiTheme="minorHAnsi" w:eastAsiaTheme="minorEastAsia" w:cstheme="minorBidi"/>
                <w:color w:val="auto"/>
              </w:rPr>
              <w:t>15</w:t>
            </w:r>
          </w:p>
        </w:tc>
      </w:tr>
    </w:tbl>
    <w:p>
      <w:pPr>
        <w:rPr>
          <w:rFonts w:ascii="仿宋_GB2312" w:hAnsi="微软雅黑" w:eastAsia="仿宋_GB2312"/>
          <w:b/>
          <w:color w:val="auto"/>
          <w:sz w:val="28"/>
          <w:szCs w:val="28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 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十一</w:t>
      </w: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专业教师任职资格</w:t>
      </w:r>
    </w:p>
    <w:p>
      <w:pPr>
        <w:spacing w:line="360" w:lineRule="auto"/>
        <w:rPr>
          <w:rFonts w:ascii="仿宋_GB2312" w:hAnsi="仿宋" w:eastAsia="仿宋_GB2312" w:cs="仿宋"/>
          <w:b/>
          <w:bCs/>
          <w:color w:val="auto"/>
          <w:sz w:val="24"/>
        </w:rPr>
      </w:pPr>
      <w:r>
        <w:rPr>
          <w:rFonts w:hint="eastAsia" w:ascii="仿宋_GB2312" w:hAnsi="微软雅黑" w:eastAsia="仿宋_GB2312"/>
          <w:b/>
          <w:color w:val="auto"/>
          <w:sz w:val="28"/>
          <w:szCs w:val="28"/>
        </w:rPr>
        <w:t xml:space="preserve">  </w:t>
      </w:r>
      <w:r>
        <w:rPr>
          <w:rFonts w:hint="eastAsia" w:ascii="仿宋_GB2312" w:hAnsi="微软雅黑" w:eastAsia="仿宋_GB2312"/>
          <w:color w:val="auto"/>
          <w:sz w:val="24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1、专任专业教师任职资格</w:t>
      </w:r>
    </w:p>
    <w:p>
      <w:pPr>
        <w:tabs>
          <w:tab w:val="left" w:pos="3306"/>
        </w:tabs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1"/>
        </w:rPr>
        <w:t>（1）具有良好的思想政治素质和职业道德，具备认真履行教师岗位职责的能力和水平，遵守教师职业道德规范。</w:t>
      </w:r>
    </w:p>
    <w:p>
      <w:pPr>
        <w:tabs>
          <w:tab w:val="left" w:pos="3306"/>
        </w:tabs>
        <w:spacing w:line="360" w:lineRule="auto"/>
        <w:ind w:firstLine="315" w:firstLineChars="1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（2）具有相关专业本科及以上学历，具备理实一体化和信息化教学的基本能力和继续学习能力。</w:t>
      </w:r>
    </w:p>
    <w:p>
      <w:pPr>
        <w:spacing w:line="360" w:lineRule="auto"/>
        <w:ind w:firstLine="315" w:firstLineChars="150"/>
        <w:rPr>
          <w:rFonts w:ascii="仿宋_GB2312" w:hAnsi="仿宋" w:eastAsia="仿宋_GB2312" w:cs="仿宋"/>
          <w:bCs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（3）青年教师应经过教师岗前培训，并在三年内取得与本专业相关的高级职业资格或中级技术职称。</w:t>
      </w:r>
      <w:r>
        <w:rPr>
          <w:rFonts w:hint="eastAsia" w:ascii="仿宋_GB2312" w:hAnsi="仿宋" w:eastAsia="仿宋_GB2312" w:cs="仿宋"/>
          <w:bCs/>
          <w:color w:val="auto"/>
          <w:sz w:val="24"/>
          <w:lang w:bidi="ar"/>
        </w:rPr>
        <w:t xml:space="preserve"> </w:t>
      </w:r>
      <w:r>
        <w:rPr>
          <w:rFonts w:ascii="仿宋_GB2312" w:hAnsi="仿宋" w:eastAsia="仿宋_GB2312" w:cs="仿宋"/>
          <w:bCs/>
          <w:color w:val="auto"/>
          <w:sz w:val="24"/>
        </w:rPr>
        <w:tab/>
      </w:r>
    </w:p>
    <w:p>
      <w:pPr>
        <w:spacing w:line="360" w:lineRule="auto"/>
        <w:rPr>
          <w:rFonts w:ascii="仿宋_GB2312" w:hAnsi="仿宋" w:eastAsia="仿宋_GB2312" w:cs="仿宋"/>
          <w:b/>
          <w:bCs/>
          <w:color w:val="auto"/>
          <w:sz w:val="24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2、专业兼职教师任职资格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1"/>
        </w:rPr>
        <w:t>（1）具有工程师及以上技术资格、技师或高级技师职业资格的人员，或本专业领域享有较高声誉、丰富实践经验和特殊技能的行业企业技术专家、能工巧匠。</w:t>
      </w:r>
    </w:p>
    <w:p>
      <w:pPr>
        <w:numPr>
          <w:ilvl w:val="0"/>
          <w:numId w:val="2"/>
        </w:numPr>
        <w:spacing w:line="360" w:lineRule="auto"/>
        <w:ind w:firstLine="315" w:firstLineChars="150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兼职教师应参加学校组织的教学方法培训，每学期承担不少于30学时的教学任务。</w:t>
      </w:r>
    </w:p>
    <w:p>
      <w:pPr>
        <w:rPr>
          <w:rFonts w:ascii="仿宋_GB2312" w:hAnsi="仿宋" w:eastAsia="仿宋_GB2312" w:cs="仿宋"/>
          <w:bCs/>
          <w:color w:val="auto"/>
          <w:sz w:val="24"/>
        </w:rPr>
      </w:pPr>
    </w:p>
    <w:p>
      <w:pPr>
        <w:ind w:firstLine="465"/>
        <w:rPr>
          <w:rFonts w:ascii="仿宋_GB2312" w:hAnsi="仿宋" w:eastAsia="仿宋_GB2312" w:cs="仿宋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十二</w:t>
      </w:r>
      <w:r>
        <w:rPr>
          <w:rFonts w:hint="eastAsia" w:ascii="仿宋_GB2312" w:hAnsi="仿宋" w:eastAsia="仿宋_GB2312" w:cs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实验（实训）条件</w:t>
      </w:r>
    </w:p>
    <w:tbl>
      <w:tblPr>
        <w:tblStyle w:val="8"/>
        <w:tblW w:w="8256" w:type="dxa"/>
        <w:tblInd w:w="9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1302"/>
        <w:gridCol w:w="1843"/>
        <w:gridCol w:w="2615"/>
        <w:gridCol w:w="20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实训名称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实训室名称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实训设备名称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配置建议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计算机绘图 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计算机、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软件、减速机实物或模型　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金工实训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钳工实训室</w:t>
            </w:r>
          </w:p>
          <w:p>
            <w:pPr>
              <w:numPr>
                <w:ilvl w:val="0"/>
                <w:numId w:val="3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机械拆装实训室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台虎钳、工作台、钳工工具、常用刀具、通用量具、台式钻床、摇臂钻床等。</w:t>
            </w:r>
          </w:p>
          <w:p>
            <w:pPr>
              <w:numPr>
                <w:ilvl w:val="0"/>
                <w:numId w:val="4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机械零部件实物、机械结构演示装置、通用拆装工具、典型机电设备。　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电工电子实训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电工技术实训室</w:t>
            </w:r>
          </w:p>
          <w:p>
            <w:pPr>
              <w:numPr>
                <w:ilvl w:val="0"/>
                <w:numId w:val="5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电子技术实训室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numPr>
                <w:ilvl w:val="0"/>
                <w:numId w:val="6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电工综合实训台、电气元件、测量仪表、模拟机床电气排故实训装置</w:t>
            </w:r>
          </w:p>
          <w:p>
            <w:pPr>
              <w:numPr>
                <w:ilvl w:val="0"/>
                <w:numId w:val="6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电子实训台、直流稳压电源、示波器、信号发生器　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PLC实训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PLC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应用实训室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可编程控制器实验装置、计算机、编程软件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数控操作应用实训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数控加工实训车间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数控车床、数控铣床、加工中心、计算机及相关编程、模拟软件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CAD/CAM技术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应用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实训室　</w:t>
            </w: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计算机、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CAD/CAM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软件</w:t>
            </w: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实训室</w:t>
            </w:r>
          </w:p>
          <w:p>
            <w:pPr>
              <w:numPr>
                <w:ilvl w:val="0"/>
                <w:numId w:val="0"/>
              </w:num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2615" w:type="dxa"/>
            <w:shd w:val="clear" w:color="auto" w:fill="auto"/>
            <w:vAlign w:val="center"/>
          </w:tcPr>
          <w:p>
            <w:pPr>
              <w:numPr>
                <w:ilvl w:val="0"/>
                <w:numId w:val="7"/>
              </w:numP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实训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的操作装置、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测量仪表、各类工具</w:t>
            </w:r>
          </w:p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eastAsia="zh-CN"/>
              </w:rPr>
              <w:t>工业机器人应用编程调试实训的各类软硬件</w:t>
            </w:r>
          </w:p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能满足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  <w:lang w:val="en-US" w:eastAsia="zh-CN"/>
              </w:rPr>
              <w:t>35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人左右同时训练和教学要求的场所和设备配置。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　</w:t>
            </w:r>
          </w:p>
        </w:tc>
      </w:tr>
    </w:tbl>
    <w:p>
      <w:pPr>
        <w:ind w:firstLine="465"/>
        <w:rPr>
          <w:rFonts w:asciiTheme="minorEastAsia" w:hAnsiTheme="minorEastAsia" w:eastAsiaTheme="minorEastAsia" w:cstheme="minorEastAsia"/>
          <w:bCs/>
          <w:color w:val="auto"/>
          <w:sz w:val="24"/>
        </w:rPr>
      </w:pPr>
    </w:p>
    <w:p>
      <w:pPr>
        <w:rPr>
          <w:rFonts w:ascii="仿宋_GB2312" w:hAnsi="仿宋" w:eastAsia="仿宋_GB2312" w:cs="仿宋"/>
          <w:b/>
          <w:bCs/>
          <w:color w:val="auto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</w:t>
      </w:r>
      <w:r>
        <w:rPr>
          <w:rFonts w:hint="eastAsia" w:ascii="仿宋_GB2312" w:hAnsi="仿宋" w:eastAsia="仿宋_GB2312" w:cs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auto"/>
          <w:sz w:val="28"/>
          <w:szCs w:val="28"/>
          <w:highlight w:val="darkGray"/>
        </w:rPr>
        <w:t>十三</w:t>
      </w:r>
      <w:r>
        <w:rPr>
          <w:rFonts w:hint="eastAsia" w:ascii="仿宋_GB2312" w:hAnsi="仿宋" w:eastAsia="仿宋_GB2312" w:cs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</w:rPr>
        <w:t>毕业标准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="仿宋_GB2312" w:hAnsi="仿宋" w:eastAsia="仿宋_GB2312" w:cs="仿宋"/>
          <w:bCs/>
          <w:color w:val="auto"/>
          <w:sz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1"/>
        </w:rPr>
        <w:t>学生满足如下条件，准予毕业：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（1）思想品德鉴定</w:t>
      </w:r>
      <w:r>
        <w:rPr>
          <w:rFonts w:asciiTheme="minorEastAsia" w:hAnsiTheme="minorEastAsia" w:eastAsiaTheme="minorEastAsia"/>
          <w:color w:val="auto"/>
          <w:szCs w:val="21"/>
        </w:rPr>
        <w:t>合</w:t>
      </w:r>
      <w:r>
        <w:rPr>
          <w:rFonts w:hint="eastAsia" w:asciiTheme="minorEastAsia" w:hAnsiTheme="minorEastAsia" w:eastAsiaTheme="minorEastAsia"/>
          <w:color w:val="auto"/>
          <w:szCs w:val="21"/>
        </w:rPr>
        <w:t>格；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（2）修完规定课程，达到最低毕业总学分260学分。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 xml:space="preserve">  （3）按照“职业资格”的要求，取得相应的技能证书。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1"/>
        </w:rPr>
      </w:pPr>
    </w:p>
    <w:p>
      <w:pPr>
        <w:rPr>
          <w:color w:val="auto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fmt="numberInDash" w:start="4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微软雅黑" w:hAnsi="微软雅黑" w:eastAsia="微软雅黑"/>
        <w:sz w:val="21"/>
        <w:szCs w:val="21"/>
        <w:lang w:eastAsia="zh-CN"/>
      </w:rPr>
    </w:pPr>
    <w:r>
      <w:rPr>
        <w:rFonts w:hint="eastAsia" w:ascii="微软雅黑" w:hAnsi="微软雅黑" w:eastAsia="微软雅黑"/>
        <w:sz w:val="21"/>
        <w:szCs w:val="21"/>
      </w:rPr>
      <w:t xml:space="preserve">江苏城市职业学院五年制高职 </w:t>
    </w:r>
    <w:r>
      <w:rPr>
        <w:rFonts w:ascii="微软雅黑" w:hAnsi="微软雅黑" w:eastAsia="微软雅黑"/>
        <w:sz w:val="21"/>
        <w:szCs w:val="21"/>
      </w:rPr>
      <w:t xml:space="preserve">                                  </w:t>
    </w:r>
    <w:r>
      <w:rPr>
        <w:rFonts w:hint="eastAsia" w:ascii="微软雅黑" w:hAnsi="微软雅黑" w:eastAsia="微软雅黑"/>
        <w:sz w:val="21"/>
        <w:szCs w:val="21"/>
        <w:lang w:eastAsia="zh-CN"/>
      </w:rPr>
      <w:t>智能制造装备技术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微软雅黑" w:hAnsi="微软雅黑" w:eastAsia="微软雅黑"/>
        <w:sz w:val="21"/>
        <w:szCs w:val="21"/>
      </w:rPr>
    </w:pPr>
    <w:r>
      <w:rPr>
        <w:rFonts w:hint="eastAsia" w:ascii="微软雅黑" w:hAnsi="微软雅黑" w:eastAsia="微软雅黑"/>
        <w:sz w:val="21"/>
        <w:szCs w:val="21"/>
      </w:rPr>
      <w:t xml:space="preserve">数控设备应用与维护 </w:t>
    </w:r>
    <w:r>
      <w:rPr>
        <w:rFonts w:ascii="微软雅黑" w:hAnsi="微软雅黑" w:eastAsia="微软雅黑"/>
        <w:sz w:val="21"/>
        <w:szCs w:val="21"/>
      </w:rPr>
      <w:t xml:space="preserve">                                  </w:t>
    </w:r>
    <w:r>
      <w:rPr>
        <w:rFonts w:hint="eastAsia" w:ascii="微软雅黑" w:hAnsi="微软雅黑" w:eastAsia="微软雅黑"/>
        <w:sz w:val="21"/>
        <w:szCs w:val="21"/>
      </w:rPr>
      <w:t xml:space="preserve">江苏城市职业学院五年制高职 </w:t>
    </w:r>
    <w:r>
      <w:rPr>
        <w:rFonts w:ascii="微软雅黑" w:hAnsi="微软雅黑" w:eastAsia="微软雅黑"/>
        <w:sz w:val="21"/>
        <w:szCs w:val="21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4517ED"/>
    <w:multiLevelType w:val="singleLevel"/>
    <w:tmpl w:val="FA4517E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2791F9"/>
    <w:multiLevelType w:val="singleLevel"/>
    <w:tmpl w:val="592791F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927D3E2"/>
    <w:multiLevelType w:val="singleLevel"/>
    <w:tmpl w:val="5927D3E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27D5E9"/>
    <w:multiLevelType w:val="singleLevel"/>
    <w:tmpl w:val="5927D5E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927DA4C"/>
    <w:multiLevelType w:val="singleLevel"/>
    <w:tmpl w:val="5927DA4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927DAA8"/>
    <w:multiLevelType w:val="singleLevel"/>
    <w:tmpl w:val="5927DAA8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927E60B"/>
    <w:multiLevelType w:val="singleLevel"/>
    <w:tmpl w:val="5927E60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1"/>
  <w:bordersDoNotSurroundFooter w:val="1"/>
  <w:documentProtection w:enforcement="0"/>
  <w:defaultTabStop w:val="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B1"/>
    <w:rsid w:val="0001225A"/>
    <w:rsid w:val="00024931"/>
    <w:rsid w:val="000C5126"/>
    <w:rsid w:val="000D7D5D"/>
    <w:rsid w:val="001105FF"/>
    <w:rsid w:val="0014451B"/>
    <w:rsid w:val="00166E06"/>
    <w:rsid w:val="001750C6"/>
    <w:rsid w:val="0017598A"/>
    <w:rsid w:val="001E5886"/>
    <w:rsid w:val="00223C83"/>
    <w:rsid w:val="002345D3"/>
    <w:rsid w:val="002637F3"/>
    <w:rsid w:val="002C024E"/>
    <w:rsid w:val="002F47D4"/>
    <w:rsid w:val="00307352"/>
    <w:rsid w:val="00320F6B"/>
    <w:rsid w:val="00356EEA"/>
    <w:rsid w:val="003B73B1"/>
    <w:rsid w:val="003C1396"/>
    <w:rsid w:val="0048246F"/>
    <w:rsid w:val="004C7DB1"/>
    <w:rsid w:val="004E527E"/>
    <w:rsid w:val="0052018F"/>
    <w:rsid w:val="0053095B"/>
    <w:rsid w:val="005517E7"/>
    <w:rsid w:val="00553DA2"/>
    <w:rsid w:val="0056212B"/>
    <w:rsid w:val="00565461"/>
    <w:rsid w:val="00571DFF"/>
    <w:rsid w:val="005D6DFC"/>
    <w:rsid w:val="005E7A57"/>
    <w:rsid w:val="00683494"/>
    <w:rsid w:val="006C280E"/>
    <w:rsid w:val="006D7F6B"/>
    <w:rsid w:val="006E6507"/>
    <w:rsid w:val="00753557"/>
    <w:rsid w:val="007D4065"/>
    <w:rsid w:val="00832AE0"/>
    <w:rsid w:val="00860DA8"/>
    <w:rsid w:val="00881730"/>
    <w:rsid w:val="008B4775"/>
    <w:rsid w:val="008D0CE3"/>
    <w:rsid w:val="00935EAB"/>
    <w:rsid w:val="00951BFE"/>
    <w:rsid w:val="009E0CDE"/>
    <w:rsid w:val="00A16B46"/>
    <w:rsid w:val="00A23E65"/>
    <w:rsid w:val="00A77901"/>
    <w:rsid w:val="00AC0382"/>
    <w:rsid w:val="00AC6B41"/>
    <w:rsid w:val="00B001D4"/>
    <w:rsid w:val="00B10D28"/>
    <w:rsid w:val="00B552CD"/>
    <w:rsid w:val="00B61639"/>
    <w:rsid w:val="00B834B9"/>
    <w:rsid w:val="00B94C68"/>
    <w:rsid w:val="00BA3FC3"/>
    <w:rsid w:val="00BD1A76"/>
    <w:rsid w:val="00BD5456"/>
    <w:rsid w:val="00C14A4D"/>
    <w:rsid w:val="00C53E0D"/>
    <w:rsid w:val="00C926C3"/>
    <w:rsid w:val="00C9629B"/>
    <w:rsid w:val="00CB235F"/>
    <w:rsid w:val="00CD4BD0"/>
    <w:rsid w:val="00CD5B3A"/>
    <w:rsid w:val="00D21229"/>
    <w:rsid w:val="00D21FCE"/>
    <w:rsid w:val="00D27163"/>
    <w:rsid w:val="00D337BD"/>
    <w:rsid w:val="00D72CEF"/>
    <w:rsid w:val="00D92FA6"/>
    <w:rsid w:val="00DB5C38"/>
    <w:rsid w:val="00DF210E"/>
    <w:rsid w:val="00DF6C58"/>
    <w:rsid w:val="00E2217A"/>
    <w:rsid w:val="00E41FD5"/>
    <w:rsid w:val="00F063D2"/>
    <w:rsid w:val="00F32B1F"/>
    <w:rsid w:val="00F3656E"/>
    <w:rsid w:val="00FC709A"/>
    <w:rsid w:val="00FF3D2E"/>
    <w:rsid w:val="01B2555E"/>
    <w:rsid w:val="04B979A9"/>
    <w:rsid w:val="06947B85"/>
    <w:rsid w:val="084C30E5"/>
    <w:rsid w:val="0C184003"/>
    <w:rsid w:val="0E4C0CEE"/>
    <w:rsid w:val="10352EA6"/>
    <w:rsid w:val="114F448F"/>
    <w:rsid w:val="11CD3724"/>
    <w:rsid w:val="12745F97"/>
    <w:rsid w:val="16DB3203"/>
    <w:rsid w:val="1CF56FA9"/>
    <w:rsid w:val="2C8D30CF"/>
    <w:rsid w:val="2CD80248"/>
    <w:rsid w:val="2CF07BD3"/>
    <w:rsid w:val="31DA4B4D"/>
    <w:rsid w:val="35997524"/>
    <w:rsid w:val="37783A4C"/>
    <w:rsid w:val="37A3545A"/>
    <w:rsid w:val="38E274B4"/>
    <w:rsid w:val="3ABD19C6"/>
    <w:rsid w:val="3D3D401B"/>
    <w:rsid w:val="3EE015C7"/>
    <w:rsid w:val="3FA05784"/>
    <w:rsid w:val="3FD41303"/>
    <w:rsid w:val="48A00172"/>
    <w:rsid w:val="48AA6791"/>
    <w:rsid w:val="4937485F"/>
    <w:rsid w:val="49A44EB5"/>
    <w:rsid w:val="49FA0276"/>
    <w:rsid w:val="4A5D6A43"/>
    <w:rsid w:val="515F40D8"/>
    <w:rsid w:val="51654692"/>
    <w:rsid w:val="5286772D"/>
    <w:rsid w:val="5C3F2D22"/>
    <w:rsid w:val="5C910A24"/>
    <w:rsid w:val="5CAC123E"/>
    <w:rsid w:val="5DE5249A"/>
    <w:rsid w:val="5FDE554B"/>
    <w:rsid w:val="617916B5"/>
    <w:rsid w:val="64E72C56"/>
    <w:rsid w:val="65705687"/>
    <w:rsid w:val="67D639DD"/>
    <w:rsid w:val="69F978EE"/>
    <w:rsid w:val="6BC26F69"/>
    <w:rsid w:val="6D48653B"/>
    <w:rsid w:val="70613874"/>
    <w:rsid w:val="714F22B0"/>
    <w:rsid w:val="71530CB6"/>
    <w:rsid w:val="72BF0ACA"/>
    <w:rsid w:val="74105C7E"/>
    <w:rsid w:val="76AC1C08"/>
    <w:rsid w:val="7835580F"/>
    <w:rsid w:val="7A53353E"/>
    <w:rsid w:val="7A79000C"/>
    <w:rsid w:val="7B137283"/>
    <w:rsid w:val="7D81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5"/>
    <w:semiHidden/>
    <w:unhideWhenUsed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rPr>
      <w:sz w:val="24"/>
    </w:rPr>
  </w:style>
  <w:style w:type="paragraph" w:styleId="7">
    <w:name w:val="annotation subject"/>
    <w:basedOn w:val="2"/>
    <w:next w:val="2"/>
    <w:link w:val="36"/>
    <w:semiHidden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59"/>
    <w:pPr>
      <w:spacing w:beforeAutospacing="1" w:afterAutospacing="1"/>
    </w:pPr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10"/>
    <w:link w:val="4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3"/>
    <w:qFormat/>
    <w:uiPriority w:val="0"/>
    <w:rPr>
      <w:kern w:val="2"/>
      <w:sz w:val="18"/>
      <w:szCs w:val="18"/>
    </w:rPr>
  </w:style>
  <w:style w:type="paragraph" w:customStyle="1" w:styleId="1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pass-generalerror"/>
    <w:basedOn w:val="10"/>
    <w:qFormat/>
    <w:uiPriority w:val="0"/>
    <w:rPr>
      <w:color w:val="FC4343"/>
      <w:sz w:val="18"/>
      <w:szCs w:val="18"/>
    </w:rPr>
  </w:style>
  <w:style w:type="character" w:customStyle="1" w:styleId="17">
    <w:name w:val="pass-placeholder"/>
    <w:basedOn w:val="10"/>
    <w:qFormat/>
    <w:uiPriority w:val="0"/>
  </w:style>
  <w:style w:type="character" w:customStyle="1" w:styleId="18">
    <w:name w:val="pass-placeholder1"/>
    <w:basedOn w:val="10"/>
    <w:qFormat/>
    <w:uiPriority w:val="0"/>
  </w:style>
  <w:style w:type="character" w:customStyle="1" w:styleId="19">
    <w:name w:val="pass-placeholder2"/>
    <w:basedOn w:val="10"/>
    <w:qFormat/>
    <w:uiPriority w:val="0"/>
  </w:style>
  <w:style w:type="character" w:customStyle="1" w:styleId="20">
    <w:name w:val="pass-placeholder3"/>
    <w:basedOn w:val="10"/>
    <w:qFormat/>
    <w:uiPriority w:val="0"/>
  </w:style>
  <w:style w:type="character" w:customStyle="1" w:styleId="21">
    <w:name w:val="open"/>
    <w:basedOn w:val="10"/>
    <w:qFormat/>
    <w:uiPriority w:val="0"/>
  </w:style>
  <w:style w:type="character" w:customStyle="1" w:styleId="22">
    <w:name w:val="pass-placeholder-password"/>
    <w:basedOn w:val="10"/>
    <w:qFormat/>
    <w:uiPriority w:val="0"/>
  </w:style>
  <w:style w:type="character" w:customStyle="1" w:styleId="23">
    <w:name w:val="pass-placeholder-smsphone"/>
    <w:basedOn w:val="10"/>
    <w:qFormat/>
    <w:uiPriority w:val="0"/>
  </w:style>
  <w:style w:type="character" w:customStyle="1" w:styleId="24">
    <w:name w:val="pass-clearbtn-verifycode"/>
    <w:basedOn w:val="10"/>
    <w:qFormat/>
    <w:uiPriority w:val="0"/>
    <w:rPr>
      <w:color w:val="CCCCCC"/>
      <w:sz w:val="21"/>
      <w:szCs w:val="21"/>
    </w:rPr>
  </w:style>
  <w:style w:type="character" w:customStyle="1" w:styleId="25">
    <w:name w:val="pass-clearbtn-verifycode1"/>
    <w:basedOn w:val="10"/>
    <w:qFormat/>
    <w:uiPriority w:val="0"/>
  </w:style>
  <w:style w:type="character" w:customStyle="1" w:styleId="26">
    <w:name w:val="pass-clearbtn-verifycode2"/>
    <w:basedOn w:val="10"/>
    <w:qFormat/>
    <w:uiPriority w:val="0"/>
  </w:style>
  <w:style w:type="character" w:customStyle="1" w:styleId="27">
    <w:name w:val="pass-clearbtn-smsverifycode"/>
    <w:basedOn w:val="10"/>
    <w:qFormat/>
    <w:uiPriority w:val="0"/>
  </w:style>
  <w:style w:type="character" w:customStyle="1" w:styleId="28">
    <w:name w:val="pass-clearbtn-smsverifycode1"/>
    <w:basedOn w:val="10"/>
    <w:qFormat/>
    <w:uiPriority w:val="0"/>
  </w:style>
  <w:style w:type="character" w:customStyle="1" w:styleId="29">
    <w:name w:val="pass-clearbtn-smsverifycode2"/>
    <w:basedOn w:val="10"/>
    <w:qFormat/>
    <w:uiPriority w:val="0"/>
  </w:style>
  <w:style w:type="character" w:customStyle="1" w:styleId="30">
    <w:name w:val="pass-placeholder-username"/>
    <w:basedOn w:val="10"/>
    <w:qFormat/>
    <w:uiPriority w:val="0"/>
  </w:style>
  <w:style w:type="character" w:customStyle="1" w:styleId="31">
    <w:name w:val="pass-placeholder-username1"/>
    <w:basedOn w:val="10"/>
    <w:qFormat/>
    <w:uiPriority w:val="0"/>
  </w:style>
  <w:style w:type="character" w:customStyle="1" w:styleId="32">
    <w:name w:val="pass-placeholder-username2"/>
    <w:basedOn w:val="10"/>
    <w:qFormat/>
    <w:uiPriority w:val="0"/>
  </w:style>
  <w:style w:type="character" w:customStyle="1" w:styleId="33">
    <w:name w:val="font0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4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5">
    <w:name w:val="批注文字 字符"/>
    <w:basedOn w:val="10"/>
    <w:link w:val="2"/>
    <w:semiHidden/>
    <w:qFormat/>
    <w:uiPriority w:val="0"/>
    <w:rPr>
      <w:kern w:val="2"/>
      <w:sz w:val="21"/>
      <w:szCs w:val="24"/>
    </w:rPr>
  </w:style>
  <w:style w:type="character" w:customStyle="1" w:styleId="36">
    <w:name w:val="批注主题 字符"/>
    <w:basedOn w:val="35"/>
    <w:link w:val="7"/>
    <w:semiHidden/>
    <w:qFormat/>
    <w:uiPriority w:val="0"/>
    <w:rPr>
      <w:b/>
      <w:bCs/>
      <w:kern w:val="2"/>
      <w:sz w:val="21"/>
      <w:szCs w:val="24"/>
    </w:rPr>
  </w:style>
  <w:style w:type="paragraph" w:styleId="3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875</Words>
  <Characters>4991</Characters>
  <Lines>41</Lines>
  <Paragraphs>11</Paragraphs>
  <TotalTime>0</TotalTime>
  <ScaleCrop>false</ScaleCrop>
  <LinksUpToDate>false</LinksUpToDate>
  <CharactersWithSpaces>5855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2018-09-11T08:16:00Z</dcterms:created>
  <dc:creator>张冬梅</dc:creator>
  <cp:lastModifiedBy>xiaomi用户</cp:lastModifiedBy>
  <cp:lastPrinted>2018-09-17T08:50:00Z</cp:lastPrinted>
  <dcterms:modified xsi:type="dcterms:W3CDTF">2021-12-05T15:48:16Z</dcterms:modified>
  <dc:title>附件2：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47A74DB284944631AFC3B636019E6C2E</vt:lpwstr>
  </property>
</Properties>
</file>