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 w:val="0"/>
          <w:bCs w:val="0"/>
          <w:sz w:val="22"/>
          <w:szCs w:val="28"/>
          <w:lang w:val="en-US" w:eastAsia="zh-CN"/>
        </w:rPr>
      </w:pPr>
      <w:r>
        <w:rPr>
          <w:rFonts w:hint="eastAsia" w:ascii="黑体" w:hAnsi="黑体" w:eastAsia="黑体" w:cs="黑体"/>
          <w:b/>
          <w:bCs/>
          <w:sz w:val="32"/>
          <w:szCs w:val="40"/>
          <w:lang w:val="en-US" w:eastAsia="zh-CN"/>
        </w:rPr>
        <w:t xml:space="preserve">              10月理论学习（王暑雅）        </w:t>
      </w:r>
      <w:r>
        <w:rPr>
          <w:rFonts w:hint="eastAsia" w:ascii="黑体" w:hAnsi="黑体" w:eastAsia="黑体" w:cs="黑体"/>
          <w:b w:val="0"/>
          <w:bCs w:val="0"/>
          <w:sz w:val="22"/>
          <w:szCs w:val="28"/>
          <w:lang w:val="en-US" w:eastAsia="zh-CN"/>
        </w:rPr>
        <w:t>2023.10</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6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6" w:type="dxa"/>
            <w:vAlign w:val="center"/>
          </w:tcPr>
          <w:p>
            <w:pPr>
              <w:spacing w:line="360" w:lineRule="auto"/>
              <w:jc w:val="center"/>
              <w:rPr>
                <w:vertAlign w:val="baseline"/>
              </w:rPr>
            </w:pPr>
            <w:r>
              <w:rPr>
                <w:rFonts w:hint="eastAsia" w:ascii="黑体" w:hAnsi="黑体" w:eastAsia="黑体" w:cs="黑体"/>
                <w:b/>
                <w:bCs/>
                <w:sz w:val="28"/>
                <w:szCs w:val="36"/>
                <w:lang w:val="en-US" w:eastAsia="zh-CN"/>
              </w:rPr>
              <w:t>【论文题目】</w:t>
            </w:r>
          </w:p>
        </w:tc>
        <w:tc>
          <w:tcPr>
            <w:tcW w:w="6526" w:type="dxa"/>
            <w:vAlign w:val="center"/>
          </w:tcPr>
          <w:p>
            <w:pPr>
              <w:spacing w:line="360" w:lineRule="auto"/>
              <w:jc w:val="center"/>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《基于核心素养下的小学数学阅读分类指导策略》</w:t>
            </w:r>
          </w:p>
          <w:p>
            <w:pPr>
              <w:spacing w:line="360" w:lineRule="auto"/>
              <w:jc w:val="center"/>
              <w:rPr>
                <w:rFonts w:hint="default"/>
                <w:vertAlign w:val="baseline"/>
                <w:lang w:val="en-US"/>
              </w:rPr>
            </w:pPr>
            <w:r>
              <w:rPr>
                <w:rFonts w:hint="eastAsia" w:ascii="宋体" w:hAnsi="宋体" w:eastAsia="宋体" w:cs="宋体"/>
                <w:b/>
                <w:bCs/>
                <w:sz w:val="24"/>
                <w:szCs w:val="32"/>
                <w:lang w:val="en-US" w:eastAsia="zh-CN"/>
              </w:rPr>
              <w:t>作者：孙红娟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line="360" w:lineRule="auto"/>
              <w:jc w:val="center"/>
              <w:rPr>
                <w:rFonts w:asciiTheme="minorHAnsi" w:hAnsiTheme="minorHAnsi" w:eastAsiaTheme="minorEastAsia" w:cstheme="minorBidi"/>
                <w:kern w:val="2"/>
                <w:sz w:val="21"/>
                <w:szCs w:val="24"/>
                <w:vertAlign w:val="baseline"/>
                <w:lang w:val="en-US" w:eastAsia="zh-CN" w:bidi="ar-SA"/>
              </w:rPr>
            </w:pPr>
            <w:r>
              <w:rPr>
                <w:rFonts w:hint="eastAsia" w:ascii="黑体" w:hAnsi="黑体" w:eastAsia="黑体" w:cs="黑体"/>
                <w:b/>
                <w:bCs/>
                <w:sz w:val="28"/>
                <w:szCs w:val="36"/>
                <w:lang w:val="en-US" w:eastAsia="zh-CN"/>
              </w:rPr>
              <w:t>【学习摘要】</w:t>
            </w:r>
          </w:p>
        </w:tc>
        <w:tc>
          <w:tcPr>
            <w:tcW w:w="6526" w:type="dxa"/>
          </w:tcPr>
          <w:p>
            <w:pPr>
              <w:keepNext w:val="0"/>
              <w:keepLines w:val="0"/>
              <w:pageBreakBefore w:val="0"/>
              <w:widowControl w:val="0"/>
              <w:tabs>
                <w:tab w:val="left" w:pos="5040"/>
              </w:tabs>
              <w:kinsoku/>
              <w:wordWrap/>
              <w:overflowPunct/>
              <w:topLinePunct w:val="0"/>
              <w:autoSpaceDE/>
              <w:autoSpaceDN/>
              <w:bidi w:val="0"/>
              <w:adjustRightInd/>
              <w:snapToGrid/>
              <w:spacing w:line="240" w:lineRule="auto"/>
              <w:jc w:val="left"/>
              <w:textAlignment w:val="auto"/>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4122420" cy="4883785"/>
                  <wp:effectExtent l="0" t="0" r="0" b="0"/>
                  <wp:docPr id="5" name="图片 5" descr="基于核心素养下的小学数学阅读分类指导策略_孙红娟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基于核心素养下的小学数学阅读分类指导策略_孙红娟_00"/>
                          <pic:cNvPicPr>
                            <a:picLocks noChangeAspect="1"/>
                          </pic:cNvPicPr>
                        </pic:nvPicPr>
                        <pic:blipFill>
                          <a:blip r:embed="rId4"/>
                          <a:srcRect l="8896" t="12390" r="5163" b="13107"/>
                          <a:stretch>
                            <a:fillRect/>
                          </a:stretch>
                        </pic:blipFill>
                        <pic:spPr>
                          <a:xfrm>
                            <a:off x="0" y="0"/>
                            <a:ext cx="4122420" cy="4883785"/>
                          </a:xfrm>
                          <a:prstGeom prst="rect">
                            <a:avLst/>
                          </a:prstGeom>
                        </pic:spPr>
                      </pic:pic>
                    </a:graphicData>
                  </a:graphic>
                </wp:inline>
              </w:drawing>
            </w:r>
            <w:r>
              <w:rPr>
                <w:rFonts w:hint="eastAsia" w:eastAsiaTheme="minorEastAsia"/>
                <w:vertAlign w:val="baseline"/>
                <w:lang w:eastAsia="zh-CN"/>
              </w:rPr>
              <w:drawing>
                <wp:inline distT="0" distB="0" distL="114300" distR="114300">
                  <wp:extent cx="4058920" cy="5494020"/>
                  <wp:effectExtent l="0" t="0" r="0" b="0"/>
                  <wp:docPr id="4" name="图片 4" descr="基于核心素养下的小学数学阅读分类指导策略_孙红娟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基于核心素养下的小学数学阅读分类指导策略_孙红娟_01"/>
                          <pic:cNvPicPr>
                            <a:picLocks noChangeAspect="1"/>
                          </pic:cNvPicPr>
                        </pic:nvPicPr>
                        <pic:blipFill>
                          <a:blip r:embed="rId5"/>
                          <a:srcRect l="6269" t="9310" r="8833" b="6608"/>
                          <a:stretch>
                            <a:fillRect/>
                          </a:stretch>
                        </pic:blipFill>
                        <pic:spPr>
                          <a:xfrm>
                            <a:off x="0" y="0"/>
                            <a:ext cx="4058920" cy="5494020"/>
                          </a:xfrm>
                          <a:prstGeom prst="rect">
                            <a:avLst/>
                          </a:prstGeom>
                        </pic:spPr>
                      </pic:pic>
                    </a:graphicData>
                  </a:graphic>
                </wp:inline>
              </w:drawing>
            </w:r>
            <w:r>
              <w:rPr>
                <w:rFonts w:hint="eastAsia" w:eastAsiaTheme="minorEastAsia"/>
                <w:vertAlign w:val="baseline"/>
                <w:lang w:eastAsia="zh-CN"/>
              </w:rPr>
              <w:drawing>
                <wp:inline distT="0" distB="0" distL="114300" distR="114300">
                  <wp:extent cx="3905250" cy="5207000"/>
                  <wp:effectExtent l="0" t="0" r="0" b="0"/>
                  <wp:docPr id="3" name="图片 3" descr="基于核心素养下的小学数学阅读分类指导策略_孙红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基于核心素养下的小学数学阅读分类指导策略_孙红娟_02"/>
                          <pic:cNvPicPr>
                            <a:picLocks noChangeAspect="1"/>
                          </pic:cNvPicPr>
                        </pic:nvPicPr>
                        <pic:blipFill>
                          <a:blip r:embed="rId6"/>
                          <a:srcRect l="8578" t="9425" r="6606" b="7830"/>
                          <a:stretch>
                            <a:fillRect/>
                          </a:stretch>
                        </pic:blipFill>
                        <pic:spPr>
                          <a:xfrm>
                            <a:off x="0" y="0"/>
                            <a:ext cx="3905250" cy="5207000"/>
                          </a:xfrm>
                          <a:prstGeom prst="rect">
                            <a:avLst/>
                          </a:prstGeom>
                        </pic:spPr>
                      </pic:pic>
                    </a:graphicData>
                  </a:graphic>
                </wp:inline>
              </w:drawing>
            </w:r>
            <w:r>
              <w:rPr>
                <w:rFonts w:hint="eastAsia" w:eastAsiaTheme="minorEastAsia"/>
                <w:vertAlign w:val="baseline"/>
                <w:lang w:eastAsia="zh-CN"/>
              </w:rPr>
              <w:drawing>
                <wp:inline distT="0" distB="0" distL="114300" distR="114300">
                  <wp:extent cx="3663950" cy="4808220"/>
                  <wp:effectExtent l="0" t="0" r="0" b="0"/>
                  <wp:docPr id="2" name="图片 2" descr="基于核心素养下的小学数学阅读分类指导策略_孙红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基于核心素养下的小学数学阅读分类指导策略_孙红娟_03"/>
                          <pic:cNvPicPr>
                            <a:picLocks noChangeAspect="1"/>
                          </pic:cNvPicPr>
                        </pic:nvPicPr>
                        <pic:blipFill>
                          <a:blip r:embed="rId7"/>
                          <a:srcRect l="6902" t="10495" r="8729" b="8495"/>
                          <a:stretch>
                            <a:fillRect/>
                          </a:stretch>
                        </pic:blipFill>
                        <pic:spPr>
                          <a:xfrm>
                            <a:off x="0" y="0"/>
                            <a:ext cx="3663950" cy="4808220"/>
                          </a:xfrm>
                          <a:prstGeom prst="rect">
                            <a:avLst/>
                          </a:prstGeom>
                        </pic:spPr>
                      </pic:pic>
                    </a:graphicData>
                  </a:graphic>
                </wp:inline>
              </w:drawing>
            </w:r>
            <w:r>
              <w:rPr>
                <w:rFonts w:hint="eastAsia" w:eastAsiaTheme="minorEastAsia"/>
                <w:vertAlign w:val="baseline"/>
                <w:lang w:eastAsia="zh-CN"/>
              </w:rPr>
              <w:drawing>
                <wp:inline distT="0" distB="0" distL="114300" distR="114300">
                  <wp:extent cx="3530600" cy="4124325"/>
                  <wp:effectExtent l="0" t="0" r="0" b="0"/>
                  <wp:docPr id="1" name="图片 1" descr="基于核心素养下的小学数学阅读分类指导策略_孙红娟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基于核心素养下的小学数学阅读分类指导策略_孙红娟_04"/>
                          <pic:cNvPicPr>
                            <a:picLocks noChangeAspect="1"/>
                          </pic:cNvPicPr>
                        </pic:nvPicPr>
                        <pic:blipFill>
                          <a:blip r:embed="rId8"/>
                          <a:srcRect l="7370" t="9838" r="5809" b="15951"/>
                          <a:stretch>
                            <a:fillRect/>
                          </a:stretch>
                        </pic:blipFill>
                        <pic:spPr>
                          <a:xfrm>
                            <a:off x="0" y="0"/>
                            <a:ext cx="3530600" cy="41243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996" w:type="dxa"/>
            <w:vAlign w:val="center"/>
          </w:tcPr>
          <w:p>
            <w:pPr>
              <w:jc w:val="center"/>
              <w:rPr>
                <w:vertAlign w:val="baseline"/>
              </w:rPr>
            </w:pPr>
            <w:r>
              <w:rPr>
                <w:rFonts w:hint="eastAsia" w:ascii="黑体" w:hAnsi="黑体" w:eastAsia="黑体" w:cs="黑体"/>
                <w:b/>
                <w:bCs/>
                <w:sz w:val="28"/>
                <w:szCs w:val="36"/>
                <w:lang w:val="en-US" w:eastAsia="zh-CN"/>
              </w:rPr>
              <w:t>【学习反思】</w:t>
            </w:r>
          </w:p>
        </w:tc>
        <w:tc>
          <w:tcPr>
            <w:tcW w:w="6526" w:type="dxa"/>
          </w:tcPr>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为拓展学生知识面，提升学生综合素养，我校语数英三科每周各开设一节课外阅读特色课程。针对前面提及开展数学阅读出现过程的问题，我校作了更充分的准备，收到了更好的效果。以下是我校开展数学阅读的策略。</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（一）系统分类，专项指导</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开屏数学阅读前，教师对阅读素材分类，精心设计了四大类数学阅读课程：数学文化类阅读、数学操作方法类阅读、数学思想方法类阅读、数学生活应用类阅读。一周进行一类素材的阅读，每类阅读的方法不同，四周为一个周期，重点从这四个方面教会学生阅读方法，培养学生阅读兴趣。阅读素材和内容系统分类，阅读方法专项指导，为数学阅读的开展找到了方向。</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（二）精选素材，巧设指引单</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数学阅读素材和阅读内容局限性大，可提供专门阅读的课外书不多，不利于学生的互动。要克服这些因素的影响，激起学生的阅读兴趣，我们要精选素材，设计阅读指引单。下面以六年级数学阅读开展为例，分四类说明怎样精选素材，怎样设计阅读指引单。</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1. 数学文化类阅读</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数学文化类阅读包括数学典故，数学史，数学故事等素材，以下是“负数的由来”阅读指引单，主要包括学习线路图、学习过程、课后阅读三部分。</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2. 数学操作方法类阅读</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动手操作是小学生学习数学的一种重要方式，各年级的数学书都有这方面的阅读素材。在动手操作的过程中，学生能有效理解和掌握相关的数学知识，重点是让学生在阅读中找出活动步骤和方法。因此，教师在组织学生动手操作时，要注意激发学生的兴趣，明确操作活动步骤和方法，以下是《剪大洞》阅读指引单，主要包括学习线路图、学习过程、课后阅读三部分。</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3. 数学思想方法类阅读</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数学思想方法是在启发学生思维过程中逐步积累和形成的，各年级的数学书都有这方面的阅读素材和专项训练。为此，在阅读设计中，要特别强调方法学习的演绎和解决问题以后的“反思”，因为在此过程中提炼出来的数学思想方法，对学生来说是易于体会、易于接受的。以下是《画图法》阅读指引单，主要包括学习线路图、学习过程、课后阅读三部分。</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default"/>
                <w:b w:val="0"/>
                <w:bCs w:val="0"/>
                <w:vertAlign w:val="baseline"/>
                <w:lang w:val="en-US" w:eastAsia="zh-CN"/>
              </w:rPr>
            </w:pPr>
            <w:r>
              <w:rPr>
                <w:rFonts w:hint="eastAsia"/>
                <w:b w:val="0"/>
                <w:bCs w:val="0"/>
                <w:vertAlign w:val="baseline"/>
                <w:lang w:val="en-US" w:eastAsia="zh-CN"/>
              </w:rPr>
              <w:t>4. 数学生活应用类阅读</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生活中充满了数学阅读的素材，可从学生已有的经验和已有的知识出发，寻找一些贴近学生生活实际的问题情境和素材，把生活中的实际问题抽象成有兴趣的数学问题，从而引起学生的阅读兴趣，引导学生主动阅读。以下是“比的应用”阅读指引单，主要包括学习线路图、学习过程、课后阅读三部分。</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val="0"/>
                <w:bCs w:val="0"/>
                <w:vertAlign w:val="baseline"/>
                <w:lang w:val="en-US" w:eastAsia="zh-CN"/>
              </w:rPr>
            </w:pPr>
            <w:r>
              <w:rPr>
                <w:rFonts w:hint="eastAsia"/>
                <w:b w:val="0"/>
                <w:bCs w:val="0"/>
                <w:vertAlign w:val="baseline"/>
                <w:lang w:val="en-US" w:eastAsia="zh-CN"/>
              </w:rPr>
              <w:t>三、多元反馈评价，激发阅读兴趣</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940"/>
              </w:tabs>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b/>
                <w:bCs/>
                <w:vertAlign w:val="baseline"/>
                <w:lang w:val="en-US" w:eastAsia="zh-CN"/>
              </w:rPr>
            </w:pPr>
            <w:r>
              <w:rPr>
                <w:rFonts w:hint="eastAsia"/>
                <w:b w:val="0"/>
                <w:bCs w:val="0"/>
                <w:vertAlign w:val="baseline"/>
                <w:lang w:val="en-US" w:eastAsia="zh-CN"/>
              </w:rPr>
              <w:t>有效的学习评价可以更好地激发学生的阅读兴趣。数学阅读的评价主要分为教师评价建议和学生互动交流分享两种评价方式。通过多元的互动评价，拓展学生的知识，激发了阅读的兴趣。充满好奇心的学生不会拒绝阅读和动手做一做的机会，教给学生一个方法，他们会还给教师一个奇思妙想的世界。</w:t>
            </w:r>
            <w:bookmarkStart w:id="0" w:name="_GoBack"/>
            <w:bookmarkEnd w:id="0"/>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3NjBmNGQ2ZjhjY2Y4MzY5YmQ3MWMzMzZhY2MwY2IifQ=="/>
  </w:docVars>
  <w:rsids>
    <w:rsidRoot w:val="539F5E9F"/>
    <w:rsid w:val="436A35A1"/>
    <w:rsid w:val="539F5E9F"/>
    <w:rsid w:val="6F1600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1751</Words>
  <Characters>1761</Characters>
  <Lines>0</Lines>
  <Paragraphs>0</Paragraphs>
  <TotalTime>34</TotalTime>
  <ScaleCrop>false</ScaleCrop>
  <LinksUpToDate>false</LinksUpToDate>
  <CharactersWithSpaces>1801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2023-06-25T00:46:00Z</dcterms:created>
  <dc:creator>肉多多wsy</dc:creator>
  <cp:lastModifiedBy>肉多多wsy</cp:lastModifiedBy>
  <dcterms:modified xsi:type="dcterms:W3CDTF">2023-12-18T05:43:41Z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80A0D59AE85C4F518B19D81B0C7F3F4F_11</vt:lpwstr>
  </property>
</Properties>
</file>