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color w:val="auto"/>
          <w:sz w:val="30"/>
          <w:szCs w:val="30"/>
        </w:rPr>
      </w:pPr>
      <w:bookmarkStart w:id="2" w:name="_GoBack"/>
      <w:bookmarkStart w:id="0" w:name="OLE_LINK4"/>
      <w:bookmarkStart w:id="1" w:name="OLE_LINK3"/>
      <w:r>
        <w:rPr>
          <w:rFonts w:hint="eastAsia" w:ascii="黑体" w:hAnsi="黑体" w:eastAsia="黑体"/>
          <w:bCs/>
          <w:color w:val="auto"/>
          <w:sz w:val="30"/>
          <w:szCs w:val="30"/>
        </w:rPr>
        <w:t>指向习作修改能力提升的小学语文微型习作课型研究</w:t>
      </w:r>
    </w:p>
    <w:bookmarkEnd w:id="0"/>
    <w:bookmarkEnd w:id="1"/>
    <w:p>
      <w:pPr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学年第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学期课题研究计划（202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.0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—202</w:t>
      </w:r>
      <w:r>
        <w:rPr>
          <w:rFonts w:ascii="黑体" w:hAnsi="黑体" w:eastAsia="黑体" w:cs="黑体"/>
          <w:color w:val="auto"/>
          <w:sz w:val="32"/>
          <w:szCs w:val="32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.0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）</w:t>
      </w:r>
    </w:p>
    <w:bookmarkEnd w:id="2"/>
    <w:p>
      <w:pPr>
        <w:jc w:val="left"/>
        <w:rPr>
          <w:rFonts w:hint="eastAsia" w:ascii="黑体" w:hAnsi="黑体" w:eastAsia="黑体" w:cs="黑体"/>
          <w:color w:val="auto"/>
          <w:sz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</w:rPr>
        <w:t>主持人：</w:t>
      </w:r>
      <w:r>
        <w:rPr>
          <w:rFonts w:hint="eastAsia" w:ascii="黑体" w:hAnsi="黑体" w:eastAsia="黑体" w:cs="黑体"/>
          <w:color w:val="auto"/>
          <w:sz w:val="24"/>
          <w:lang w:val="en-US" w:eastAsia="zh-CN"/>
        </w:rPr>
        <w:t>王杰</w:t>
      </w:r>
    </w:p>
    <w:p>
      <w:pPr>
        <w:jc w:val="left"/>
        <w:rPr>
          <w:rFonts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一、本学期研究目标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1.制订工作计划，购置与课题研究有关的理论书籍与其它资料。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2.课题组分工，分批进行课题研究组主要成员和子课题成员的理论学习与培训。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调查了解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影响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我校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学生习作修改提升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问题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的现状；研究指向习作修改的微型习作课型的育人价值、内涵特征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探索指向习作修改的微型习作课型的教学设计与组织形式收集数据、素材和案例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.进行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指向习作修改能力提升的微型习作教学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，在课题研究的实践中不断地提出解决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学生习作修改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问题的方法与措施，并做好阶段性经验总结。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5.访谈教师了解现状，探究实现教师习作教学理念教学转型的方式方法。</w:t>
      </w:r>
    </w:p>
    <w:p>
      <w:pPr>
        <w:jc w:val="left"/>
        <w:rPr>
          <w:rFonts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二、本学期研究内容</w:t>
      </w:r>
    </w:p>
    <w:p>
      <w:pPr>
        <w:spacing w:line="360" w:lineRule="exact"/>
        <w:ind w:right="-107" w:rightChars="-51"/>
        <w:rPr>
          <w:rFonts w:hint="eastAsia" w:ascii="宋体" w:hAnsi="宋体" w:eastAsia="宋体"/>
          <w:b/>
          <w:bCs/>
          <w:color w:val="auto"/>
          <w:sz w:val="24"/>
        </w:rPr>
      </w:pPr>
      <w:r>
        <w:rPr>
          <w:rFonts w:hint="eastAsia" w:ascii="宋体" w:hAnsi="宋体" w:eastAsia="宋体"/>
          <w:b/>
          <w:bCs/>
          <w:color w:val="auto"/>
          <w:sz w:val="24"/>
        </w:rPr>
        <w:t>1．指向习作修改的微型习作课型的育人价值、内涵特征研究</w:t>
      </w:r>
    </w:p>
    <w:p>
      <w:pPr>
        <w:spacing w:line="360" w:lineRule="exact"/>
        <w:ind w:right="-107" w:rightChars="-51"/>
        <w:rPr>
          <w:rFonts w:hint="eastAsia"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指向习作修改的微型习作课型的育人价值研究；整理总结指向习作修改的微型习作课型的内涵；分析微型习作课的案例，总结指向习作修改的微型习作课型的基本特征，从而更地分类开展此类微型习作教学。</w:t>
      </w:r>
    </w:p>
    <w:p>
      <w:pPr>
        <w:spacing w:line="360" w:lineRule="exact"/>
        <w:ind w:right="-107" w:rightChars="-51"/>
        <w:rPr>
          <w:rFonts w:hint="eastAsia" w:ascii="宋体" w:hAnsi="宋体" w:eastAsia="宋体"/>
          <w:b/>
          <w:bCs/>
          <w:color w:val="auto"/>
          <w:sz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lang w:val="en-US" w:eastAsia="zh-CN"/>
        </w:rPr>
        <w:t>2.</w:t>
      </w:r>
      <w:r>
        <w:rPr>
          <w:rFonts w:hint="eastAsia" w:ascii="宋体" w:hAnsi="宋体" w:eastAsia="宋体"/>
          <w:b/>
          <w:bCs/>
          <w:color w:val="auto"/>
          <w:sz w:val="24"/>
        </w:rPr>
        <w:t>常规习作课与指向习作修改的微型习作课的关系研究</w:t>
      </w:r>
    </w:p>
    <w:p>
      <w:pPr>
        <w:spacing w:line="360" w:lineRule="exact"/>
        <w:ind w:right="-107" w:rightChars="-51" w:firstLine="480" w:firstLineChars="200"/>
        <w:rPr>
          <w:rFonts w:hint="eastAsia"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常规习作课的设计理念、设计与评价方法等研究；指向习作修改的微型习作课的设计理念、设计与评价方法等研究；分析常规习作课与指向习作修改的微型习作课的异同点，找到共生共长的新突破。</w:t>
      </w:r>
    </w:p>
    <w:p>
      <w:pPr>
        <w:spacing w:line="360" w:lineRule="exact"/>
        <w:ind w:right="-107" w:rightChars="-51"/>
        <w:rPr>
          <w:rFonts w:hint="eastAsia" w:ascii="宋体" w:hAnsi="宋体" w:eastAsia="宋体"/>
          <w:b/>
          <w:bCs/>
          <w:color w:val="auto"/>
          <w:sz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lang w:val="en-US" w:eastAsia="zh-CN"/>
        </w:rPr>
        <w:t>3.</w:t>
      </w:r>
      <w:r>
        <w:rPr>
          <w:rFonts w:hint="eastAsia" w:ascii="宋体" w:hAnsi="宋体" w:eastAsia="宋体"/>
          <w:b/>
          <w:bCs/>
          <w:color w:val="auto"/>
          <w:sz w:val="24"/>
        </w:rPr>
        <w:t>指向习作修改的微型习作课型的教学设计与组织形式研究</w:t>
      </w:r>
    </w:p>
    <w:p>
      <w:pPr>
        <w:spacing w:line="360" w:lineRule="exact"/>
        <w:ind w:right="-107" w:rightChars="-51" w:firstLine="480" w:firstLineChars="200"/>
        <w:rPr>
          <w:rFonts w:hint="eastAsia"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本课题组拟从微型习作的角度出发，根据学生的学段特征，推进不同类别的习作修改指导课，不同类别的习作问题在习作修改的推进过程中采取的策略不同；搜集小学指向习作修改的微型习作课的教学设计研究；探究指向习作修改的微型习作教学设计理念；促进学生习作修改能力提升的习作组织形式研究；针对学生的共性问题总结归纳，设计有针对性的系列微型习作教学。</w:t>
      </w:r>
    </w:p>
    <w:p>
      <w:pPr>
        <w:spacing w:line="360" w:lineRule="exact"/>
        <w:ind w:right="-107" w:rightChars="-51"/>
        <w:rPr>
          <w:rFonts w:hint="eastAsia" w:ascii="宋体" w:hAnsi="宋体" w:eastAsia="宋体"/>
          <w:b/>
          <w:bCs/>
          <w:color w:val="auto"/>
          <w:sz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lang w:val="en-US" w:eastAsia="zh-CN"/>
        </w:rPr>
        <w:t>4.</w:t>
      </w:r>
      <w:r>
        <w:rPr>
          <w:rFonts w:hint="eastAsia" w:ascii="宋体" w:hAnsi="宋体" w:eastAsia="宋体"/>
          <w:b/>
          <w:bCs/>
          <w:color w:val="auto"/>
          <w:sz w:val="24"/>
        </w:rPr>
        <w:t>语文教师习作教学：理念方法转型研究</w:t>
      </w:r>
    </w:p>
    <w:p>
      <w:pPr>
        <w:spacing w:line="360" w:lineRule="exact"/>
        <w:ind w:right="-107" w:rightChars="-51" w:firstLine="480" w:firstLineChars="200"/>
        <w:rPr>
          <w:rFonts w:hint="eastAsia"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小学语文教师传统习作理念的研究；小学语文教师指向习作修改的微型习作理念的研究；依托不同类型的微型习作修改指导课型，促进小学语文教师从“传统习作教学”转向“指向习作修改的微型习作教学”的路径和方法研究。</w:t>
      </w:r>
    </w:p>
    <w:p>
      <w:pPr>
        <w:spacing w:line="360" w:lineRule="exact"/>
        <w:ind w:right="-107" w:rightChars="-51" w:firstLine="480" w:firstLineChars="200"/>
        <w:rPr>
          <w:rFonts w:hint="eastAsia" w:ascii="宋体" w:hAnsi="宋体" w:eastAsia="宋体"/>
          <w:color w:val="auto"/>
          <w:sz w:val="24"/>
        </w:rPr>
      </w:pPr>
    </w:p>
    <w:p>
      <w:pPr>
        <w:spacing w:line="360" w:lineRule="exact"/>
        <w:ind w:right="-107" w:rightChars="-51" w:firstLine="480" w:firstLineChars="200"/>
        <w:rPr>
          <w:rFonts w:hint="eastAsia" w:ascii="宋体" w:hAnsi="宋体" w:eastAsia="宋体"/>
          <w:color w:val="auto"/>
          <w:sz w:val="24"/>
        </w:rPr>
      </w:pPr>
    </w:p>
    <w:p>
      <w:pPr>
        <w:numPr>
          <w:ilvl w:val="0"/>
          <w:numId w:val="0"/>
        </w:numPr>
        <w:spacing w:line="360" w:lineRule="exact"/>
        <w:ind w:right="-107" w:rightChars="-51"/>
        <w:rPr>
          <w:rFonts w:ascii="黑体" w:hAnsi="黑体" w:eastAsia="黑体"/>
          <w:b/>
          <w:bCs/>
          <w:color w:val="auto"/>
          <w:sz w:val="24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三、本学期研究内容行事历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482"/>
        <w:gridCol w:w="1843"/>
        <w:gridCol w:w="212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57" w:type="dxa"/>
          </w:tcPr>
          <w:p>
            <w:pPr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2482" w:type="dxa"/>
          </w:tcPr>
          <w:p>
            <w:pPr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8"/>
                <w:szCs w:val="28"/>
              </w:rPr>
              <w:t>研讨内容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8"/>
                <w:szCs w:val="28"/>
              </w:rPr>
              <w:t>活动负责人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5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交流本学期研究计划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会议讨论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王杰</w:t>
            </w:r>
          </w:p>
        </w:tc>
        <w:tc>
          <w:tcPr>
            <w:tcW w:w="1276" w:type="dxa"/>
          </w:tcPr>
          <w:p>
            <w:pPr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结合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本学期习作课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开发和内容设计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沙龙研讨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黄纯</w:t>
            </w:r>
          </w:p>
        </w:tc>
        <w:tc>
          <w:tcPr>
            <w:tcW w:w="1276" w:type="dxa"/>
          </w:tcPr>
          <w:p>
            <w:pPr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05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指向习作修改的微型习作课型的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理论整理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会议讨论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丁楠</w:t>
            </w:r>
          </w:p>
        </w:tc>
        <w:tc>
          <w:tcPr>
            <w:tcW w:w="1276" w:type="dxa"/>
          </w:tcPr>
          <w:p>
            <w:pPr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2" w:hRule="atLeast"/>
        </w:trPr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指向习作修改的微型习作课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教学案例研讨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教学研究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龚静</w:t>
            </w:r>
          </w:p>
        </w:tc>
        <w:tc>
          <w:tcPr>
            <w:tcW w:w="1276" w:type="dxa"/>
          </w:tcPr>
          <w:p>
            <w:pPr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指向习作修改的微型习作课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教学公开课研讨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课堂研究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评课研讨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王杰</w:t>
            </w:r>
          </w:p>
        </w:tc>
        <w:tc>
          <w:tcPr>
            <w:tcW w:w="1276" w:type="dxa"/>
          </w:tcPr>
          <w:p>
            <w:pPr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备课组展开主题汇报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会议研讨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丁楠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龚静</w:t>
            </w:r>
          </w:p>
        </w:tc>
        <w:tc>
          <w:tcPr>
            <w:tcW w:w="1276" w:type="dxa"/>
          </w:tcPr>
          <w:p>
            <w:pPr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本学期课题研究总结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会议讨论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王杰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  <w:t>黄纯</w:t>
            </w:r>
          </w:p>
        </w:tc>
        <w:tc>
          <w:tcPr>
            <w:tcW w:w="1276" w:type="dxa"/>
          </w:tcPr>
          <w:p>
            <w:pPr>
              <w:rPr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rPr>
          <w:b/>
          <w:bCs/>
          <w:color w:val="auto"/>
          <w:sz w:val="28"/>
          <w:szCs w:val="28"/>
          <w:shd w:val="clear" w:color="FFFFFF" w:fill="D9D9D9"/>
        </w:rPr>
      </w:pPr>
      <w:r>
        <w:rPr>
          <w:rFonts w:hint="eastAsia"/>
          <w:b/>
          <w:bCs/>
          <w:color w:val="auto"/>
          <w:sz w:val="28"/>
          <w:szCs w:val="28"/>
        </w:rPr>
        <w:t>四、本学期研究内容责任分工</w:t>
      </w: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969"/>
        <w:gridCol w:w="12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8"/>
                <w:szCs w:val="28"/>
              </w:rPr>
              <w:t>研究内容</w:t>
            </w:r>
          </w:p>
        </w:tc>
        <w:tc>
          <w:tcPr>
            <w:tcW w:w="3969" w:type="dxa"/>
          </w:tcPr>
          <w:p>
            <w:pPr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268" w:type="dxa"/>
          </w:tcPr>
          <w:p>
            <w:pPr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8"/>
                <w:szCs w:val="28"/>
              </w:rPr>
              <w:t>完成截止时间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</w:rPr>
              <w:t>教研</w:t>
            </w:r>
          </w:p>
        </w:tc>
        <w:tc>
          <w:tcPr>
            <w:tcW w:w="3969" w:type="dxa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交流本学期课堂计划及备课组教学分工计划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王杰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指向习作修改的微型习作课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设计思路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年级指向习作修改的微型习作课教学案例设计。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丁楠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年级指向习作修改的微型习作课教学案例设计。</w:t>
            </w:r>
          </w:p>
        </w:tc>
        <w:tc>
          <w:tcPr>
            <w:tcW w:w="127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eastAsiaTheme="minorEastAsia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0"/>
                <w:lang w:val="en-US" w:eastAsia="zh-CN"/>
              </w:rPr>
              <w:t>黄纯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.教学案例研究进行资料整理和汇报，形成教学案例总汇。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0"/>
                <w:lang w:val="en-US" w:eastAsia="zh-CN"/>
              </w:rPr>
              <w:t>龚静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指向习作修改的微型习作课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</w:rPr>
              <w:t>教学研究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课题组指向习作修改的微型习作课教学研究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汇报活动。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王杰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2. 结合指向习作修改的微型习作课教学研究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总结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小学语文微型习作教学评价建议。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val="en-US" w:eastAsia="zh-CN"/>
              </w:rPr>
              <w:t>黄纯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969" w:type="dxa"/>
            <w:vAlign w:val="center"/>
          </w:tcPr>
          <w:p>
            <w:pPr>
              <w:tabs>
                <w:tab w:val="left" w:pos="312"/>
              </w:tabs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</w:rPr>
              <w:t>3</w:t>
            </w:r>
            <w:r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  <w:t>.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</w:rPr>
              <w:t>通过课堂观摩、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val="en-US" w:eastAsia="zh-CN"/>
              </w:rPr>
              <w:t>校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</w:rPr>
              <w:t>教研活动、听课评课等教研方式进行交流研讨。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val="en-US" w:eastAsia="zh-CN"/>
              </w:rPr>
              <w:t>丁楠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学期中</w:t>
            </w:r>
          </w:p>
          <w:p>
            <w:pPr>
              <w:jc w:val="center"/>
              <w:rPr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课堂教学研讨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val="en-US" w:eastAsia="zh-CN"/>
              </w:rPr>
              <w:t>课题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</w:rPr>
              <w:t>组围绕课题研究写好案例设计的教学总结和反思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val="en-US" w:eastAsia="zh-CN"/>
              </w:rPr>
              <w:t>龚静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资料的收集与整理</w:t>
            </w:r>
          </w:p>
        </w:tc>
        <w:tc>
          <w:tcPr>
            <w:tcW w:w="3969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学期末课题组成员将个人研究成果和一些过程性资料交给主持人。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主持人将资料进行分类整理收集并上传。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0"/>
                <w:lang w:val="en-US" w:eastAsia="zh-CN"/>
              </w:rPr>
              <w:t>王杰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D41863"/>
    <w:multiLevelType w:val="singleLevel"/>
    <w:tmpl w:val="3CD418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lNjE4NGRhNTJhYjU5YTg0Y2FhZDkzYTUzMWUxZDMifQ=="/>
  </w:docVars>
  <w:rsids>
    <w:rsidRoot w:val="00511016"/>
    <w:rsid w:val="00096E00"/>
    <w:rsid w:val="000B6790"/>
    <w:rsid w:val="00346665"/>
    <w:rsid w:val="00351B85"/>
    <w:rsid w:val="003922CB"/>
    <w:rsid w:val="00447293"/>
    <w:rsid w:val="00484CD9"/>
    <w:rsid w:val="00511016"/>
    <w:rsid w:val="005815B1"/>
    <w:rsid w:val="00613EF1"/>
    <w:rsid w:val="00677BDA"/>
    <w:rsid w:val="006C69B8"/>
    <w:rsid w:val="00715190"/>
    <w:rsid w:val="00734FCF"/>
    <w:rsid w:val="00736CC1"/>
    <w:rsid w:val="00822A39"/>
    <w:rsid w:val="00866A0D"/>
    <w:rsid w:val="0088647F"/>
    <w:rsid w:val="008B24FA"/>
    <w:rsid w:val="00A11AAC"/>
    <w:rsid w:val="00C03583"/>
    <w:rsid w:val="00E245CF"/>
    <w:rsid w:val="00E314FD"/>
    <w:rsid w:val="00F36056"/>
    <w:rsid w:val="3B6468F5"/>
    <w:rsid w:val="45117A73"/>
    <w:rsid w:val="66BC7C9A"/>
    <w:rsid w:val="71D4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2461</Words>
  <Characters>2538</Characters>
  <Lines>18</Lines>
  <Paragraphs>5</Paragraphs>
  <TotalTime>3</TotalTime>
  <ScaleCrop>false</ScaleCrop>
  <LinksUpToDate>false</LinksUpToDate>
  <CharactersWithSpaces>2541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2022-02-21T10:28:00Z</dcterms:created>
  <dc:creator>1025767450@qq.com</dc:creator>
  <cp:lastModifiedBy>憶梦之泪</cp:lastModifiedBy>
  <dcterms:modified xsi:type="dcterms:W3CDTF">2023-11-13T16:55:26Z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DC193FAFE1AF451BB14D35C26553B549_13</vt:lpwstr>
  </property>
</Properties>
</file>