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陆文明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新北区奔牛初级中学</w:t>
      </w:r>
      <w:r>
        <w:rPr>
          <w:b/>
          <w:sz w:val="28"/>
          <w:szCs w:val="28"/>
          <w:u w:val="single"/>
        </w:rPr>
        <w:t xml:space="preserve">         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陆文明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19840401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2008.07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江苏师范大学法政学院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中学一级教师     2013.10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Cs w:val="21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常州市优秀教育工作者、新北区优秀教育工作者、新北区优秀班主任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发展期  教育教学手段缺乏灵活性、开放性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长期担任初三教学，积累一定的教育教学经验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创新能力不足，记忆力下降，理论知识不足，阅读量太少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>新北区学科带头人、中学高级教师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交流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  <w:r>
              <w:rPr>
                <w:rFonts w:hint="eastAsia"/>
                <w:b/>
                <w:color w:val="0D0D0D" w:themeColor="text1" w:themeTint="F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基本条件大致具备，论文缺核心期刊，理论知识不硬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hint="default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hint="eastAsia"/>
                <w:b/>
                <w:color w:val="auto"/>
                <w:lang w:val="en-US" w:eastAsia="zh-CN"/>
              </w:rPr>
              <w:t>精读一本专著；泛读论文与其他专刊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前列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一节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获奖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一篇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lang w:val="en-US" w:eastAsia="zh-CN"/>
              </w:rPr>
              <w:t>主持的区级课题顺利结题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/>
                <w:lang w:val="en-US" w:eastAsia="zh-CN"/>
              </w:rPr>
              <w:t>1</w:t>
            </w:r>
          </w:p>
          <w:p>
            <w:pPr>
              <w:rPr>
                <w:b/>
              </w:rPr>
            </w:pPr>
          </w:p>
        </w:tc>
        <w:tc>
          <w:tcPr>
            <w:tcW w:w="3253" w:type="dxa"/>
          </w:tcPr>
          <w:p>
            <w:pPr>
              <w:rPr>
                <w:rFonts w:hint="default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/>
                <w:color w:val="auto"/>
                <w:lang w:val="en-US" w:eastAsia="zh-CN"/>
              </w:rPr>
              <w:t>精读一本专著；泛读论文与其他专刊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前列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一节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4、教学竞赛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获奖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一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2609" w:type="dxa"/>
          </w:tcPr>
          <w:p>
            <w:pPr>
              <w:rPr>
                <w:rFonts w:hint="default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/>
                <w:color w:val="auto"/>
                <w:lang w:val="en-US" w:eastAsia="zh-CN"/>
              </w:rPr>
              <w:t>精读一本专著；泛读论文与其他专刊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>
            <w:pPr>
              <w:rPr>
                <w:rFonts w:hint="eastAsia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auto"/>
                <w:lang w:val="en-US" w:eastAsia="zh-CN"/>
              </w:rPr>
              <w:t>前列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3、公开课与讲座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一节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4、教学竞赛</w:t>
            </w:r>
            <w:r>
              <w:rPr>
                <w:rFonts w:hint="eastAsia"/>
                <w:b/>
                <w:lang w:eastAsia="zh-CN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获奖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一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b/>
              </w:rPr>
              <w:t xml:space="preserve"> 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充分利用学校图书馆、超星数字图书馆、知网、万方、当当等平台，加强理论学习，撰写读书笔记与心得；抓住成长营的契机，向优秀老师讨教，改进教育教学，学习独立主持课题，开展教学研究；积极参与各项教研活动，积极开设公开课、参与各类竞赛，及时反思总结，推动自己教育教学能力的提升。</w:t>
            </w: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b/>
                <w:bCs/>
              </w:rPr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dlNzNmZGUxMzJlZTI1ZjAzMWU4N2VhNjc3ODg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BE9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161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E75E4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16583AC7"/>
    <w:rsid w:val="17605C90"/>
    <w:rsid w:val="4A611E64"/>
    <w:rsid w:val="5F9A6DF8"/>
    <w:rsid w:val="798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523</Words>
  <Characters>608</Characters>
  <Lines>6</Lines>
  <Paragraphs>1</Paragraphs>
  <TotalTime>3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Administrator</cp:lastModifiedBy>
  <dcterms:modified xsi:type="dcterms:W3CDTF">2023-11-10T11:28:40Z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6A6B399D68794781A6CE395759DA3590</vt:lpwstr>
  </property>
</Properties>
</file>