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lang w:val="en-US" w:eastAsia="zh-CN"/>
        </w:rPr>
      </w:pPr>
      <w:r>
        <w:rPr>
          <w:rFonts w:hint="eastAsia" w:ascii="黑体" w:hAnsi="黑体" w:eastAsia="黑体" w:cs="黑体"/>
          <w:b/>
          <w:bCs w:val="0"/>
          <w:sz w:val="32"/>
          <w:lang w:val="en-US" w:eastAsia="zh-CN"/>
        </w:rPr>
        <w:t>大七班班全班幼儿</w:t>
      </w:r>
      <w:r>
        <w:rPr>
          <w:rFonts w:hint="eastAsia" w:ascii="黑体" w:hAnsi="黑体" w:eastAsia="黑体" w:cs="黑体"/>
          <w:b/>
          <w:bCs w:val="0"/>
          <w:sz w:val="32"/>
        </w:rPr>
        <w:t>洗手环节</w:t>
      </w:r>
      <w:r>
        <w:rPr>
          <w:rFonts w:hint="eastAsia" w:ascii="黑体" w:hAnsi="黑体" w:eastAsia="黑体" w:cs="黑体"/>
          <w:b/>
          <w:bCs w:val="0"/>
          <w:sz w:val="32"/>
          <w:lang w:val="en-US" w:eastAsia="zh-CN"/>
        </w:rPr>
        <w:t>一周统计情况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927"/>
        <w:gridCol w:w="813"/>
        <w:gridCol w:w="707"/>
        <w:gridCol w:w="707"/>
        <w:gridCol w:w="707"/>
        <w:gridCol w:w="920"/>
        <w:gridCol w:w="920"/>
        <w:gridCol w:w="813"/>
        <w:gridCol w:w="813"/>
        <w:gridCol w:w="813"/>
        <w:gridCol w:w="813"/>
        <w:gridCol w:w="920"/>
        <w:gridCol w:w="920"/>
        <w:gridCol w:w="813"/>
        <w:gridCol w:w="813"/>
        <w:gridCol w:w="920"/>
        <w:gridCol w:w="813"/>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类别</w:t>
            </w:r>
          </w:p>
        </w:tc>
        <w:tc>
          <w:tcPr>
            <w:tcW w:w="927"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早点前：主动洗手</w:t>
            </w:r>
          </w:p>
        </w:tc>
        <w:tc>
          <w:tcPr>
            <w:tcW w:w="813"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早点前：提醒后洗手</w:t>
            </w:r>
          </w:p>
        </w:tc>
        <w:tc>
          <w:tcPr>
            <w:tcW w:w="707"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早点前：未洗手</w:t>
            </w:r>
          </w:p>
        </w:tc>
        <w:tc>
          <w:tcPr>
            <w:tcW w:w="707"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早点前：使用七步洗手法洗手</w:t>
            </w:r>
          </w:p>
        </w:tc>
        <w:tc>
          <w:tcPr>
            <w:tcW w:w="707"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早点前：打肥皂搓洗</w:t>
            </w:r>
          </w:p>
        </w:tc>
        <w:tc>
          <w:tcPr>
            <w:tcW w:w="920"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早点前：未打肥皂，直接冲洗</w:t>
            </w:r>
          </w:p>
        </w:tc>
        <w:tc>
          <w:tcPr>
            <w:tcW w:w="920"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小便后：主动洗手</w:t>
            </w:r>
          </w:p>
        </w:tc>
        <w:tc>
          <w:tcPr>
            <w:tcW w:w="813"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小便后：提醒后洗手</w:t>
            </w:r>
          </w:p>
        </w:tc>
        <w:tc>
          <w:tcPr>
            <w:tcW w:w="813"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小便后：未洗手</w:t>
            </w:r>
          </w:p>
        </w:tc>
        <w:tc>
          <w:tcPr>
            <w:tcW w:w="813"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小便后：使用七步洗手法洗手</w:t>
            </w:r>
          </w:p>
        </w:tc>
        <w:tc>
          <w:tcPr>
            <w:tcW w:w="813"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小便后：打肥皂搓洗</w:t>
            </w:r>
          </w:p>
        </w:tc>
        <w:tc>
          <w:tcPr>
            <w:tcW w:w="920"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小便后：未打肥皂，直接冲洗</w:t>
            </w:r>
          </w:p>
        </w:tc>
        <w:tc>
          <w:tcPr>
            <w:tcW w:w="920"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午餐、午点前：主动洗手</w:t>
            </w:r>
          </w:p>
        </w:tc>
        <w:tc>
          <w:tcPr>
            <w:tcW w:w="813"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午餐、午点前：提醒后洗手</w:t>
            </w:r>
          </w:p>
        </w:tc>
        <w:tc>
          <w:tcPr>
            <w:tcW w:w="813"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午餐、午点前：未洗手</w:t>
            </w:r>
          </w:p>
        </w:tc>
        <w:tc>
          <w:tcPr>
            <w:tcW w:w="920"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午餐、午点前：使用七步洗手法洗手</w:t>
            </w:r>
          </w:p>
        </w:tc>
        <w:tc>
          <w:tcPr>
            <w:tcW w:w="813"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午餐、午点前：打肥皂搓洗</w:t>
            </w:r>
          </w:p>
        </w:tc>
        <w:tc>
          <w:tcPr>
            <w:tcW w:w="813" w:type="dxa"/>
            <w:tcBorders>
              <w:tl2br w:val="nil"/>
              <w:tr2bl w:val="nil"/>
            </w:tcBorders>
            <w:shd w:val="clear" w:color="auto" w:fill="E0E0E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午餐、午点前：未打肥皂，直接冲洗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1、戴梓涵</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2、王登登</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3、郑思言</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4、陈欣彤</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5、秦越阳</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6、于恩澍</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7、许文韬</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8、陈思锦</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9、康家翊</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10、陈梦婷</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11、杨胤杰</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12、谈灵桐</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13、徐慕则</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14、余诺依</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15、刘书言</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16、邵蓁蓁</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17、毛歆程</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18、钱诚</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19、吴悠然</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20、范紫琪</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21、范紫妤</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22、王渌</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23、陆熳</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24、陈昱玮</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25、张珈源</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26、高浩宸</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27、印李润</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28、谭暖晴</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29、许夏妍</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30、杨诺依</w:t>
            </w:r>
          </w:p>
        </w:tc>
        <w:tc>
          <w:tcPr>
            <w:tcW w:w="92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4(80%)</w:t>
            </w:r>
          </w:p>
        </w:tc>
        <w:tc>
          <w:tcPr>
            <w:tcW w:w="813"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31、徐梓硕</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2(40%)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lang w:val="en-US" w:eastAsia="zh-CN"/>
              </w:rPr>
              <w:t>类别</w:t>
            </w:r>
          </w:p>
        </w:tc>
        <w:tc>
          <w:tcPr>
            <w:tcW w:w="92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早点前：主动洗手</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早点前：提醒后洗手</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早点前：未洗手</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早点前：使用七步洗手法洗手</w:t>
            </w:r>
          </w:p>
        </w:tc>
        <w:tc>
          <w:tcPr>
            <w:tcW w:w="707"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早点前：打肥皂搓洗</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早点前：未打肥皂，直接冲洗</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小便后：主动洗手</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小便后：提醒后洗手</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小便后：未洗手</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小便后：使用七步洗手法洗手</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小便后：打肥皂搓洗</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小便后：未打肥皂，直接冲洗</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午餐、午点前：主动洗手</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午餐、午点前：提醒后洗手</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午餐、午点前：未洗手</w:t>
            </w:r>
          </w:p>
        </w:tc>
        <w:tc>
          <w:tcPr>
            <w:tcW w:w="92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午餐、午点前：使用七步洗手法洗手</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午餐、午点前：打肥皂搓洗</w:t>
            </w:r>
          </w:p>
        </w:tc>
        <w:tc>
          <w:tcPr>
            <w:tcW w:w="813"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FF0000"/>
                <w:kern w:val="2"/>
                <w:sz w:val="21"/>
                <w:szCs w:val="21"/>
                <w:lang w:val="en-US" w:eastAsia="zh-CN" w:bidi="ar-SA"/>
              </w:rPr>
            </w:pPr>
            <w:r>
              <w:rPr>
                <w:rFonts w:hint="eastAsia" w:ascii="宋体" w:hAnsi="宋体" w:eastAsia="宋体" w:cs="宋体"/>
                <w:b/>
                <w:bCs/>
                <w:color w:val="FF0000"/>
                <w:sz w:val="21"/>
                <w:szCs w:val="21"/>
              </w:rPr>
              <w:t>午餐、午点前：未打肥皂，直接冲洗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vMerge w:val="restart"/>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数据统计</w:t>
            </w:r>
          </w:p>
        </w:tc>
        <w:tc>
          <w:tcPr>
            <w:tcW w:w="2447" w:type="dxa"/>
            <w:gridSpan w:val="3"/>
            <w:tcBorders>
              <w:tl2br w:val="nil"/>
              <w:tr2bl w:val="nil"/>
            </w:tcBorders>
            <w:shd w:val="clear" w:color="auto" w:fill="FDEADA" w:themeFill="accent6" w:themeFillTint="32"/>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早前点主动洗手：110</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早点前提醒后洗手：19</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早点前未洗手：0</w:t>
            </w:r>
          </w:p>
        </w:tc>
        <w:tc>
          <w:tcPr>
            <w:tcW w:w="2334" w:type="dxa"/>
            <w:gridSpan w:val="3"/>
            <w:tcBorders>
              <w:tl2br w:val="nil"/>
              <w:tr2bl w:val="nil"/>
            </w:tcBorders>
            <w:shd w:val="clear" w:color="auto" w:fill="FDEADA" w:themeFill="accent6" w:themeFillTint="32"/>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早点前使用七步洗手法洗手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0</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早点前打肥皂搓洗：</w:t>
            </w:r>
            <w:r>
              <w:rPr>
                <w:rFonts w:hint="eastAsia" w:ascii="宋体" w:hAnsi="宋体" w:eastAsia="宋体" w:cs="宋体"/>
                <w:sz w:val="21"/>
                <w:szCs w:val="21"/>
                <w:lang w:val="en-US" w:eastAsia="zh-CN"/>
              </w:rPr>
              <w:t>0</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早点前未打肥皂，直接冲洗：</w:t>
            </w:r>
            <w:r>
              <w:rPr>
                <w:rFonts w:hint="eastAsia" w:ascii="宋体" w:hAnsi="宋体" w:eastAsia="宋体" w:cs="宋体"/>
                <w:sz w:val="21"/>
                <w:szCs w:val="21"/>
                <w:lang w:val="en-US" w:eastAsia="zh-CN"/>
              </w:rPr>
              <w:t>129</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p>
        </w:tc>
        <w:tc>
          <w:tcPr>
            <w:tcW w:w="2546" w:type="dxa"/>
            <w:gridSpan w:val="3"/>
            <w:tcBorders>
              <w:tl2br w:val="nil"/>
              <w:tr2bl w:val="nil"/>
            </w:tcBorders>
            <w:shd w:val="clear" w:color="auto" w:fill="FBD4B4" w:themeFill="accent6" w:themeFillTint="66"/>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小便后主动洗手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73</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小便后提醒后洗手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49</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小便后未洗手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w:t>
            </w:r>
          </w:p>
        </w:tc>
        <w:tc>
          <w:tcPr>
            <w:tcW w:w="2546" w:type="dxa"/>
            <w:gridSpan w:val="3"/>
            <w:tcBorders>
              <w:tl2br w:val="nil"/>
              <w:tr2bl w:val="nil"/>
            </w:tcBorders>
            <w:shd w:val="clear" w:color="auto" w:fill="FBD4B4" w:themeFill="accent6" w:themeFillTint="66"/>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小便后使用七步洗手法洗手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小便后打肥皂搓洗</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小便后未打肥皂，直接冲洗</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118</w:t>
            </w:r>
          </w:p>
        </w:tc>
        <w:tc>
          <w:tcPr>
            <w:tcW w:w="2546" w:type="dxa"/>
            <w:gridSpan w:val="3"/>
            <w:tcBorders>
              <w:tl2br w:val="nil"/>
              <w:tr2bl w:val="nil"/>
            </w:tcBorders>
            <w:shd w:val="clear" w:color="auto" w:fill="FABF8F" w:themeFill="accent6" w:themeFillTint="99"/>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午餐、午点前主动洗手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118</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午餐、午点前提醒后洗手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午餐、午点</w:t>
            </w:r>
            <w:r>
              <w:rPr>
                <w:rFonts w:hint="eastAsia" w:ascii="宋体" w:hAnsi="宋体" w:eastAsia="宋体" w:cs="宋体"/>
                <w:sz w:val="21"/>
                <w:szCs w:val="21"/>
                <w:lang w:val="en-US" w:eastAsia="zh-CN"/>
              </w:rPr>
              <w:t>前</w:t>
            </w:r>
            <w:r>
              <w:rPr>
                <w:rFonts w:hint="eastAsia" w:ascii="宋体" w:hAnsi="宋体" w:eastAsia="宋体" w:cs="宋体"/>
                <w:sz w:val="21"/>
                <w:szCs w:val="21"/>
              </w:rPr>
              <w:t>未洗手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p>
        </w:tc>
        <w:tc>
          <w:tcPr>
            <w:tcW w:w="2546" w:type="dxa"/>
            <w:gridSpan w:val="3"/>
            <w:tcBorders>
              <w:tl2br w:val="nil"/>
              <w:tr2bl w:val="nil"/>
            </w:tcBorders>
            <w:shd w:val="clear" w:color="auto" w:fill="FABF8F" w:themeFill="accent6" w:themeFillTint="99"/>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午餐、午点前使用七步洗手法洗手</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87</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午餐、午点前打肥皂搓洗</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35</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午餐、午点前未打肥皂，直接冲洗</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vMerge w:val="continue"/>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lang w:val="en-US" w:eastAsia="zh-CN"/>
              </w:rPr>
            </w:pPr>
          </w:p>
        </w:tc>
        <w:tc>
          <w:tcPr>
            <w:tcW w:w="14965" w:type="dxa"/>
            <w:gridSpan w:val="1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drawing>
                <wp:inline distT="0" distB="0" distL="114300" distR="114300">
                  <wp:extent cx="7353300" cy="2943225"/>
                  <wp:effectExtent l="9525" t="9525" r="9525" b="19050"/>
                  <wp:docPr id="11" name="图片 11" descr="QQ截图2021122515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QQ截图20211225152739"/>
                          <pic:cNvPicPr>
                            <a:picLocks noChangeAspect="1"/>
                          </pic:cNvPicPr>
                        </pic:nvPicPr>
                        <pic:blipFill>
                          <a:blip r:embed="rId4"/>
                          <a:stretch>
                            <a:fillRect/>
                          </a:stretch>
                        </pic:blipFill>
                        <pic:spPr>
                          <a:xfrm>
                            <a:off x="0" y="0"/>
                            <a:ext cx="7353300" cy="2943225"/>
                          </a:xfrm>
                          <a:prstGeom prst="rect">
                            <a:avLst/>
                          </a:prstGeom>
                          <a:ln>
                            <a:solidFill>
                              <a:schemeClr val="tx1"/>
                            </a:solid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分析</w:t>
            </w:r>
          </w:p>
        </w:tc>
        <w:tc>
          <w:tcPr>
            <w:tcW w:w="14965" w:type="dxa"/>
            <w:gridSpan w:val="1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观察时间：</w:t>
            </w:r>
            <w:r>
              <w:rPr>
                <w:rFonts w:hint="eastAsia" w:ascii="宋体" w:hAnsi="宋体" w:eastAsia="宋体" w:cs="宋体"/>
                <w:sz w:val="21"/>
                <w:szCs w:val="21"/>
                <w:lang w:val="en-US" w:eastAsia="zh-CN"/>
              </w:rPr>
              <w:t>2021.10.20-10.24</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观察对象：</w:t>
            </w:r>
            <w:r>
              <w:rPr>
                <w:rFonts w:hint="eastAsia" w:ascii="宋体" w:hAnsi="宋体" w:eastAsia="宋体" w:cs="宋体"/>
                <w:sz w:val="21"/>
                <w:szCs w:val="21"/>
                <w:lang w:val="en-US" w:eastAsia="zh-CN"/>
              </w:rPr>
              <w:t>全班31位幼儿（其中，实际每天观察人数是30,27,25,25,21。）</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观察目标：</w:t>
            </w:r>
            <w:r>
              <w:rPr>
                <w:rFonts w:hint="eastAsia" w:ascii="宋体" w:hAnsi="宋体" w:eastAsia="宋体" w:cs="宋体"/>
                <w:sz w:val="21"/>
                <w:szCs w:val="21"/>
                <w:lang w:val="en-US" w:eastAsia="zh-CN"/>
              </w:rPr>
              <w:t>针对洗手环节，观察一日活动中早点前洗手、小便后洗手、以及午餐和午点前的洗手情况。</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观察内容：</w:t>
            </w:r>
            <w:r>
              <w:rPr>
                <w:rFonts w:hint="eastAsia" w:ascii="宋体" w:hAnsi="宋体" w:eastAsia="宋体" w:cs="宋体"/>
                <w:sz w:val="21"/>
                <w:szCs w:val="21"/>
                <w:lang w:val="en-US" w:eastAsia="zh-CN"/>
              </w:rPr>
              <w:t>观察目标幼儿洗手的意识、洗手的方式和方法。</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观察分析：</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从上表的具体数据可以看出，早点前洗手、小便后洗手、以及午餐和午点前洗手具体的数据情况，三个环节所呈现出的数据是不一致的。</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其中表现为——午餐和午点环节的情况要优于早点前、小便后洗手。</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1.人数的对比：午餐、午点主动洗手的人数明显多于另外两个环节，尤其是显著高于小便后洗手的数据。</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2.洗手的质量：能够用七步洗手法洗手的，在午餐和午点环节最多，在早点和小便后，大部分幼儿还是以清水冲洗为主，很少会用到肥皂搓洗。</w:t>
            </w:r>
          </w:p>
        </w:tc>
      </w:tr>
    </w:tbl>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textAlignment w:val="auto"/>
        <w:rPr>
          <w:rFonts w:hint="eastAsia"/>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个案观察案例</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观察对象：</w:t>
      </w:r>
      <w:r>
        <w:rPr>
          <w:rFonts w:hint="eastAsia" w:ascii="宋体" w:hAnsi="宋体" w:eastAsia="宋体" w:cs="宋体"/>
          <w:sz w:val="21"/>
          <w:szCs w:val="21"/>
          <w:lang w:val="en-US" w:eastAsia="zh-CN"/>
        </w:rPr>
        <w:t>陈思锦（女，小名果果，6周岁1个月）</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观察目标：</w:t>
      </w:r>
      <w:r>
        <w:rPr>
          <w:rFonts w:hint="eastAsia" w:ascii="宋体" w:hAnsi="宋体" w:eastAsia="宋体" w:cs="宋体"/>
          <w:sz w:val="21"/>
          <w:szCs w:val="21"/>
          <w:lang w:val="en-US" w:eastAsia="zh-CN"/>
        </w:rPr>
        <w:t>由生活环节的情况，展开观察目标幼儿一日活动中自主性的情况</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观察内容：</w:t>
      </w:r>
      <w:r>
        <w:rPr>
          <w:rFonts w:hint="eastAsia" w:ascii="宋体" w:hAnsi="宋体" w:eastAsia="宋体" w:cs="宋体"/>
          <w:sz w:val="21"/>
          <w:szCs w:val="21"/>
          <w:lang w:val="en-US" w:eastAsia="zh-CN"/>
        </w:rPr>
        <w:t>观察目标幼儿一日活动的自主性表现，关注区域游戏、户外活动、生活活动、学习活动中具体的表现</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观察背景：</w:t>
      </w:r>
      <w:r>
        <w:rPr>
          <w:rFonts w:hint="eastAsia" w:ascii="宋体" w:hAnsi="宋体" w:eastAsia="宋体" w:cs="宋体"/>
          <w:b w:val="0"/>
          <w:bCs w:val="0"/>
          <w:sz w:val="21"/>
          <w:szCs w:val="21"/>
          <w:lang w:val="en-US" w:eastAsia="zh-CN"/>
        </w:rPr>
        <w:t>基于以下观察，发现目标幼儿在生活环节有较强的自主性，因此观察她在一日生活是否也能自主、主动地进行其他活动。</w:t>
      </w:r>
    </w:p>
    <w:tbl>
      <w:tblPr>
        <w:tblStyle w:val="4"/>
        <w:tblW w:w="1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927"/>
        <w:gridCol w:w="813"/>
        <w:gridCol w:w="707"/>
        <w:gridCol w:w="707"/>
        <w:gridCol w:w="707"/>
        <w:gridCol w:w="920"/>
        <w:gridCol w:w="920"/>
        <w:gridCol w:w="813"/>
        <w:gridCol w:w="813"/>
        <w:gridCol w:w="813"/>
        <w:gridCol w:w="813"/>
        <w:gridCol w:w="920"/>
        <w:gridCol w:w="920"/>
        <w:gridCol w:w="813"/>
        <w:gridCol w:w="813"/>
        <w:gridCol w:w="920"/>
        <w:gridCol w:w="813"/>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vMerge w:val="restar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生活环节（聚焦洗手环节）</w:t>
            </w:r>
          </w:p>
        </w:tc>
        <w:tc>
          <w:tcPr>
            <w:tcW w:w="92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早点前：主动洗手</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早点前：提醒后洗手</w:t>
            </w:r>
          </w:p>
        </w:tc>
        <w:tc>
          <w:tcPr>
            <w:tcW w:w="70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早点前：未洗手</w:t>
            </w:r>
          </w:p>
        </w:tc>
        <w:tc>
          <w:tcPr>
            <w:tcW w:w="70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早点前：使用七步洗手法洗手</w:t>
            </w:r>
          </w:p>
        </w:tc>
        <w:tc>
          <w:tcPr>
            <w:tcW w:w="70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早点前：打肥皂搓洗</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早点前：未打肥皂，直接冲洗</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小便后：主动洗手</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小便后：提醒后洗手</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小便后：未洗手</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小便后：使用七步洗手法洗手</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小便后：打肥皂搓洗</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小便后：未打肥皂，直接冲洗</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午餐、午点前：主动洗手</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午餐、午点前：提醒后洗手</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午餐、午点前：未洗手</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午餐、午点前：使用七步洗手法洗手</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午餐、午点前：打肥皂搓洗</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午餐、午点前：未打肥皂，直接冲洗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21"/>
                <w:szCs w:val="21"/>
              </w:rPr>
            </w:pPr>
          </w:p>
        </w:tc>
        <w:tc>
          <w:tcPr>
            <w:tcW w:w="92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707"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1(20%)</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3(60%)</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920"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5(100%)</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c>
          <w:tcPr>
            <w:tcW w:w="813" w:type="dxa"/>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rPr>
            </w:pPr>
            <w:r>
              <w:rPr>
                <w:rFonts w:hint="eastAsia" w:ascii="宋体" w:hAnsi="宋体" w:eastAsia="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vMerge w:val="continue"/>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sz w:val="21"/>
                <w:szCs w:val="21"/>
                <w:lang w:val="en-US" w:eastAsia="zh-CN"/>
              </w:rPr>
            </w:pPr>
          </w:p>
        </w:tc>
        <w:tc>
          <w:tcPr>
            <w:tcW w:w="14965" w:type="dxa"/>
            <w:gridSpan w:val="18"/>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drawing>
                <wp:inline distT="0" distB="0" distL="114300" distR="114300">
                  <wp:extent cx="6858000" cy="2724150"/>
                  <wp:effectExtent l="9525" t="9525" r="9525" b="9525"/>
                  <wp:docPr id="12" name="图片 12" descr="QQ截图2021122515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QQ截图20211225152829"/>
                          <pic:cNvPicPr>
                            <a:picLocks noChangeAspect="1"/>
                          </pic:cNvPicPr>
                        </pic:nvPicPr>
                        <pic:blipFill>
                          <a:blip r:embed="rId5"/>
                          <a:stretch>
                            <a:fillRect/>
                          </a:stretch>
                        </pic:blipFill>
                        <pic:spPr>
                          <a:xfrm>
                            <a:off x="0" y="0"/>
                            <a:ext cx="6858000" cy="2724150"/>
                          </a:xfrm>
                          <a:prstGeom prst="rect">
                            <a:avLst/>
                          </a:prstGeom>
                          <a:ln>
                            <a:solidFill>
                              <a:schemeClr val="tx1"/>
                            </a:solid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分析：</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一周洗手情况的观察中，发现目标幼儿果果在洗手方面具有较强的自主性，体现在洗手的意识较强，能主动在各个环节自主地洗手，并且能有较高的质量去洗手。如，其他孩子在小便后，仅用清水冲洗，果果也能尝试使用肥皂洗手，尤其是在午餐和午点环节，她的自主性更是凸显，在5天的观察中，均能够主动洗手，并且能坚持使用七步洗手法洗手。</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在一周的时间观察下，结合具体数据的呈现和其他幼儿的对比分析，发现该幼儿在洗手环节，乃至其他生活环节，均具有很强的自主性，能自主完成生活各个环节，鲜少需要由老师来提醒，及时在提醒下，也能很快做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户外活动环节</w:t>
            </w:r>
          </w:p>
        </w:tc>
        <w:tc>
          <w:tcPr>
            <w:tcW w:w="14965" w:type="dxa"/>
            <w:gridSpan w:val="18"/>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一周户外区域统计，该目标幼儿所选户外区域如下：</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周一（蹦蹦床）、周二（勇闯神秘塔）、周三（民间游戏）、周四（勇闯神秘塔）、周五（滑板区）</w:t>
            </w:r>
          </w:p>
          <w:p>
            <w:pPr>
              <w:keepNext w:val="0"/>
              <w:keepLines w:val="0"/>
              <w:pageBreakBefore w:val="0"/>
              <w:widowControl w:val="0"/>
              <w:kinsoku/>
              <w:wordWrap/>
              <w:overflowPunct/>
              <w:topLinePunct w:val="0"/>
              <w:autoSpaceDE/>
              <w:autoSpaceDN/>
              <w:bidi w:val="0"/>
              <w:adjustRightInd/>
              <w:snapToGrid/>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分析：</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目标幼儿在户外环节，能尝试各种不一样的户外场地进行游戏，能根据自己的喜好、兴趣有选择的进行户外，体现出该幼儿的自主和自信。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生活活动（除洗手环节，其他环节）</w:t>
            </w:r>
          </w:p>
        </w:tc>
        <w:tc>
          <w:tcPr>
            <w:tcW w:w="14965" w:type="dxa"/>
            <w:gridSpan w:val="18"/>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bookmarkStart w:id="0" w:name="_GoBack"/>
            <w:bookmarkEnd w:id="0"/>
            <w:r>
              <w:rPr>
                <w:rFonts w:hint="eastAsia" w:ascii="宋体" w:hAnsi="宋体" w:eastAsia="宋体" w:cs="宋体"/>
                <w:sz w:val="21"/>
                <w:szCs w:val="21"/>
                <w:lang w:val="en-US" w:eastAsia="zh-CN"/>
              </w:rPr>
              <w:t xml:space="preserve">   该目标幼儿所表现出的自理能力和自我服务能力是班内数一数二的，几乎很少需要老师的操心，很多自理能力，在老师交过后，通过自己尝试和在家练习，很快就能动手自己试一试，也能很快就能学会。因此，我们班的自理能力展示支架环境，很多都是由该目标幼儿为小朋友展示，供幼儿学习，是我们班孩子公认的能干的小朋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分析</w:t>
            </w:r>
          </w:p>
        </w:tc>
        <w:tc>
          <w:tcPr>
            <w:tcW w:w="14965" w:type="dxa"/>
            <w:gridSpan w:val="18"/>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ind w:firstLine="4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从对目标幼儿一日活动的观察，可以看出，该幼儿的生活、学习、游戏、运动等等，各个环节所体现出的自主性是相通的，其行为在各个环节相互交融，相辅相成。</w:t>
            </w:r>
          </w:p>
          <w:p>
            <w:pPr>
              <w:keepNext w:val="0"/>
              <w:keepLines w:val="0"/>
              <w:pageBreakBefore w:val="0"/>
              <w:widowControl w:val="0"/>
              <w:kinsoku/>
              <w:wordWrap/>
              <w:overflowPunct/>
              <w:topLinePunct w:val="0"/>
              <w:autoSpaceDE/>
              <w:autoSpaceDN/>
              <w:bidi w:val="0"/>
              <w:adjustRightInd/>
              <w:snapToGrid/>
              <w:ind w:firstLine="42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虽然只是对目标幼儿进行了一周的持续观察，但结合前期观察，也能在一定程度上说明该幼儿在一日活动中的自主性表现。可能的原因：</w:t>
            </w:r>
          </w:p>
          <w:p>
            <w:pPr>
              <w:keepNext w:val="0"/>
              <w:keepLines w:val="0"/>
              <w:pageBreakBefore w:val="0"/>
              <w:widowControl w:val="0"/>
              <w:kinsoku/>
              <w:wordWrap/>
              <w:overflowPunct/>
              <w:topLinePunct w:val="0"/>
              <w:autoSpaceDE/>
              <w:autoSpaceDN/>
              <w:bidi w:val="0"/>
              <w:adjustRightInd/>
              <w:snapToGrid/>
              <w:ind w:firstLine="4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1.家长的带养观念：与家长沟通发现，该幼儿还有一个姐姐，其主要由祖辈带养，在祖辈带养的观念上，因为是二胎，还是以锻炼幼儿自理能力为主，在家也鼓励幼儿自己的事情自己做。</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2.幼儿的学习和理解：该幼儿在学习上保有很高的专注力，善于倾听和学习，因此她的学习力和理解力也是高于同班的其他幼儿的。</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3.教师的支持和引导：对于该幼儿，其一，我们一直鼓励该幼儿大胆表现自己，在区域游戏和个别活动中，给予该幼儿展示自我的机会，激发该幼儿进一步的动力。其二，将该幼儿的能力情况，制作成支架性图示，供其他幼儿学习，肯定幼儿的表现。其三，鼓励该幼儿在自己完成的情况下，多多帮助其他小朋友，在同伴互助下，感受到自己的能干，并进一步激发她的自主与自信。</w:t>
            </w:r>
          </w:p>
          <w:p>
            <w:pPr>
              <w:keepNext w:val="0"/>
              <w:keepLines w:val="0"/>
              <w:pageBreakBefore w:val="0"/>
              <w:widowControl w:val="0"/>
              <w:kinsoku/>
              <w:wordWrap/>
              <w:overflowPunct/>
              <w:topLinePunct w:val="0"/>
              <w:autoSpaceDE/>
              <w:autoSpaceDN/>
              <w:bidi w:val="0"/>
              <w:adjustRightInd/>
              <w:snapToGrid/>
              <w:ind w:firstLine="4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4.也需要在后期继续根据观察，给予该幼儿下一步可能有挑战的推进。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70" w:type="dxa"/>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结语</w:t>
            </w:r>
          </w:p>
        </w:tc>
        <w:tc>
          <w:tcPr>
            <w:tcW w:w="14965" w:type="dxa"/>
            <w:gridSpan w:val="18"/>
            <w:tcBorders>
              <w:tl2br w:val="nil"/>
              <w:tr2bl w:val="nil"/>
            </w:tcBorders>
            <w:shd w:val="clear" w:color="auto" w:fill="F9F9F9"/>
            <w:vAlign w:val="center"/>
          </w:tcPr>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结合董旭花所著的《自主游戏：成就幼儿快乐而有意义的童年》一书，自主游戏、自主学习、自主生活是幼儿教育的基本目标和内容，也是幼儿教育改革的基本方向。她提出，要尊重幼儿发展的特点和需要，放手与支持幼儿的自主性发展，让幼儿在自主游戏、自主学习和自主生活中，在独立自主的体验和经历中增强自我成长的力量具有非常重要的意义。</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其中，</w:t>
            </w:r>
            <w:r>
              <w:rPr>
                <w:rFonts w:hint="eastAsia" w:ascii="宋体" w:hAnsi="宋体" w:eastAsia="宋体" w:cs="宋体"/>
                <w:b/>
                <w:bCs/>
                <w:sz w:val="21"/>
                <w:szCs w:val="21"/>
                <w:lang w:val="en-US" w:eastAsia="zh-CN"/>
              </w:rPr>
              <w:t>自主游戏</w:t>
            </w:r>
            <w:r>
              <w:rPr>
                <w:rFonts w:hint="eastAsia" w:ascii="宋体" w:hAnsi="宋体" w:eastAsia="宋体" w:cs="宋体"/>
                <w:sz w:val="21"/>
                <w:szCs w:val="21"/>
                <w:lang w:val="en-US" w:eastAsia="zh-CN"/>
              </w:rPr>
              <w:t>强调教师信任幼儿，放手让幼儿自由选择，自主地把握游戏内容和游戏进程，玩自己的游戏。</w:t>
            </w:r>
            <w:r>
              <w:rPr>
                <w:rFonts w:hint="eastAsia" w:ascii="宋体" w:hAnsi="宋体" w:eastAsia="宋体" w:cs="宋体"/>
                <w:b/>
                <w:bCs/>
                <w:sz w:val="21"/>
                <w:szCs w:val="21"/>
                <w:lang w:val="en-US" w:eastAsia="zh-CN"/>
              </w:rPr>
              <w:t>自主学习</w:t>
            </w:r>
            <w:r>
              <w:rPr>
                <w:rFonts w:hint="eastAsia" w:ascii="宋体" w:hAnsi="宋体" w:eastAsia="宋体" w:cs="宋体"/>
                <w:sz w:val="21"/>
                <w:szCs w:val="21"/>
                <w:lang w:val="en-US" w:eastAsia="zh-CN"/>
              </w:rPr>
              <w:t>就是幼儿按照自己的意愿，带着自己的问题，在自己的探索中，按照自己的方式解决问题，并获得发展的过程。</w:t>
            </w:r>
            <w:r>
              <w:rPr>
                <w:rFonts w:hint="eastAsia" w:ascii="宋体" w:hAnsi="宋体" w:eastAsia="宋体" w:cs="宋体"/>
                <w:b/>
                <w:bCs/>
                <w:sz w:val="21"/>
                <w:szCs w:val="21"/>
                <w:lang w:val="en-US" w:eastAsia="zh-CN"/>
              </w:rPr>
              <w:t>自主生活</w:t>
            </w:r>
            <w:r>
              <w:rPr>
                <w:rFonts w:hint="eastAsia" w:ascii="宋体" w:hAnsi="宋体" w:eastAsia="宋体" w:cs="宋体"/>
                <w:sz w:val="21"/>
                <w:szCs w:val="21"/>
                <w:lang w:val="en-US" w:eastAsia="zh-CN"/>
              </w:rPr>
              <w:t>强调幼儿在面对自己生活中的问题时能尝试自主安排时间，自主做出选择和计划，自主地支配玩具和其他物品，学习自我服务和自主地享用自己的劳动成果，在自主的生活中实现自我意识和自我能力的发展，学会负责任地关照好自己的身体和心理健康。</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尽管自主游戏、自主学习与自主生活各有其含义，但是本质相同、目标一致，都以幼儿是一个独立发展的人为出发点，都是为了成就对自己、对社会有贡献，负责任、有能力、敢担当的个体。</w:t>
            </w:r>
            <w:r>
              <w:rPr>
                <w:rFonts w:hint="eastAsia" w:ascii="宋体" w:hAnsi="宋体" w:eastAsia="宋体" w:cs="宋体"/>
                <w:b/>
                <w:bCs/>
                <w:sz w:val="21"/>
                <w:szCs w:val="21"/>
                <w:lang w:val="en-US" w:eastAsia="zh-CN"/>
              </w:rPr>
              <w:t>自主游戏、自主学习与自主生活相互交融、相辅相成，你中有我、我中有你。</w:t>
            </w:r>
          </w:p>
        </w:tc>
      </w:tr>
    </w:tbl>
    <w:p>
      <w:pPr>
        <w:keepNext w:val="0"/>
        <w:keepLines w:val="0"/>
        <w:pageBreakBefore w:val="0"/>
        <w:widowControl w:val="0"/>
        <w:kinsoku/>
        <w:wordWrap/>
        <w:overflowPunct/>
        <w:topLinePunct w:val="0"/>
        <w:autoSpaceDE/>
        <w:autoSpaceDN/>
        <w:bidi w:val="0"/>
        <w:adjustRightInd/>
        <w:snapToGrid/>
        <w:textAlignment w:val="auto"/>
      </w:pPr>
    </w:p>
    <w:sectPr>
      <w:pgSz w:w="16838" w:h="11906" w:orient="landscape"/>
      <w:pgMar w:top="1134" w:right="567" w:bottom="1134" w:left="56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wODkyNjYwMDVkNjkyYTgzZGNhM2M2YTcyZjcxNGMifQ=="/>
  </w:docVars>
  <w:rsids>
    <w:rsidRoot w:val="00995F5C"/>
    <w:rsid w:val="0040072E"/>
    <w:rsid w:val="00503C2A"/>
    <w:rsid w:val="00767F1F"/>
    <w:rsid w:val="00995F5C"/>
    <w:rsid w:val="13342AA0"/>
    <w:rsid w:val="7C922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61</Words>
  <Characters>95</Characters>
  <Lines>1</Lines>
  <Paragraphs>1</Paragraphs>
  <TotalTime>3</TotalTime>
  <ScaleCrop>false</ScaleCrop>
  <LinksUpToDate>false</LinksUpToDate>
  <CharactersWithSpaces>99</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2021-12-25T05:16:00Z</dcterms:created>
  <dc:creator>xb21cn</dc:creator>
  <cp:lastModifiedBy>徐栋</cp:lastModifiedBy>
  <dcterms:modified xsi:type="dcterms:W3CDTF">2023-11-06T04:37:26Z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6970B20AC0E4411EAF90F4BC98B2DD3A</vt:lpwstr>
  </property>
</Properties>
</file>