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我喜欢（二）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通过上周各项活动的开展，孩子们对常见水果的特征有了进一步的了解，</w:t>
            </w:r>
            <w:r>
              <w:rPr>
                <w:rFonts w:hint="eastAsia"/>
                <w:color w:val="auto"/>
              </w:rPr>
              <w:t>在活动中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</w:rPr>
              <w:t>名愿意在集体面前介绍自己喜欢的水果，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名能详细讲述水果的外形特征及其喜欢的原因，</w:t>
            </w:r>
            <w:r>
              <w:rPr>
                <w:rFonts w:hint="eastAsia"/>
                <w:color w:val="auto"/>
                <w:lang w:val="en-US" w:eastAsia="zh-CN"/>
              </w:rPr>
              <w:t>10</w:t>
            </w:r>
            <w:r>
              <w:rPr>
                <w:rFonts w:hint="eastAsia"/>
                <w:color w:val="auto"/>
              </w:rPr>
              <w:t>名幼儿喜欢运用泥工、绘画等形式表现自己对水果的认识和喜爱</w:t>
            </w:r>
            <w:r>
              <w:rPr>
                <w:rFonts w:hint="eastAsia"/>
              </w:rPr>
              <w:t>……</w:t>
            </w:r>
            <w:r>
              <w:rPr>
                <w:rFonts w:hint="eastAsia"/>
                <w:lang w:val="en-US" w:eastAsia="zh-CN"/>
              </w:rPr>
              <w:t>同时，孩子们</w:t>
            </w:r>
            <w:r>
              <w:rPr>
                <w:rFonts w:hint="eastAsia"/>
              </w:rPr>
              <w:t>的语言表达能力</w:t>
            </w:r>
            <w:r>
              <w:rPr>
                <w:rFonts w:hint="eastAsia"/>
                <w:lang w:val="en-US" w:eastAsia="zh-CN"/>
              </w:rPr>
              <w:t>以及</w:t>
            </w:r>
            <w:r>
              <w:rPr>
                <w:rFonts w:hint="eastAsia"/>
              </w:rPr>
              <w:t>对周围事物的关注能力都得到了一定的提高。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围绕“我喜欢的水果”开展一系列的活动，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在进一步观察水果的基础上，能用较连贯的语言表达对水果的认识。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运用语言、表演等方式表现水果的特征，表达自己对水果的喜爱之情。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建构区</w:t>
            </w:r>
            <w:r>
              <w:rPr>
                <w:rFonts w:hint="eastAsia"/>
                <w:color w:val="auto"/>
              </w:rPr>
              <w:t>提供水果</w:t>
            </w:r>
            <w:r>
              <w:rPr>
                <w:rFonts w:hint="eastAsia"/>
                <w:color w:val="auto"/>
                <w:lang w:val="en-US" w:eastAsia="zh-CN"/>
              </w:rPr>
              <w:t>树</w:t>
            </w:r>
            <w:r>
              <w:rPr>
                <w:rFonts w:hint="eastAsia"/>
                <w:color w:val="auto"/>
              </w:rPr>
              <w:t>，引导幼儿用雪花片自由搭建喜欢的水果</w:t>
            </w:r>
            <w:r>
              <w:rPr>
                <w:rFonts w:hint="eastAsia"/>
                <w:color w:val="auto"/>
                <w:lang w:val="en-US" w:eastAsia="zh-CN"/>
              </w:rPr>
              <w:t>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提供</w:t>
            </w:r>
            <w:r>
              <w:rPr>
                <w:rFonts w:hint="eastAsia"/>
                <w:color w:val="auto"/>
              </w:rPr>
              <w:t>提供颜料、泥工等多种形式塑造多种多样的水果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/>
                <w:color w:val="auto"/>
                <w:szCs w:val="21"/>
              </w:rPr>
              <w:t>添加《水果在哪里》和水果图片，提供亿童玩具《小刺猬摘苹果》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4.图书区</w:t>
            </w:r>
            <w:r>
              <w:rPr>
                <w:rFonts w:hint="eastAsia"/>
                <w:color w:val="auto"/>
              </w:rPr>
              <w:t>图书区可以张贴</w:t>
            </w:r>
            <w:r>
              <w:rPr>
                <w:rFonts w:hint="eastAsia"/>
                <w:color w:val="auto"/>
                <w:lang w:val="en-US" w:eastAsia="zh-CN"/>
              </w:rPr>
              <w:t>照片</w:t>
            </w:r>
            <w:r>
              <w:rPr>
                <w:rFonts w:hint="eastAsia"/>
                <w:color w:val="auto"/>
              </w:rPr>
              <w:t>《各种各样的水果》、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提供《我喜欢的水果》图书和幼儿自带的比较熟悉的图书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5.植物角种植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  <w:lang w:val="en-US" w:eastAsia="zh-CN"/>
              </w:rPr>
              <w:t>大蒜和洋葱等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shd w:val="clear" w:color="auto" w:fill="FFFFFF"/>
              </w:rPr>
              <w:t>植物，引导幼儿关注其生长情况。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尝试自己穿脱套头衫、挂衣服，愿意自己的事情自己做。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养成良好的午睡习惯，能自己穿脱衣裤和鞋子，并知道要整齐摆放。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有趣的放大镜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美工区：水果变变变、各种各样的水果；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</w:rPr>
              <w:t>闻一闻》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、《水果屋》、我喜欢的水果、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洞洞书、有声读物；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益智区：水果拼图、有趣的甜甜圈、俄罗斯方块、图形配对等</w:t>
            </w:r>
            <w:r>
              <w:rPr>
                <w:rStyle w:val="35"/>
                <w:rFonts w:hint="eastAsia" w:ascii="宋体" w:hAnsi="宋体" w:cs="宋体"/>
                <w:color w:val="auto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建构区：木头积木建构水果树、雪花片建构水果篮；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</w:rPr>
              <w:t>幼儿是否主动选择区域并按选择进区游戏。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auto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音乐：苹果 </w:t>
            </w:r>
            <w:r>
              <w:rPr>
                <w:rFonts w:ascii="宋体" w:hAnsi="宋体" w:cs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>科学：桔娃娃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语言：圆圆圆 </w:t>
            </w:r>
            <w:r>
              <w:rPr>
                <w:rFonts w:ascii="宋体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</w:rPr>
              <w:t>数学：</w:t>
            </w:r>
            <w:r>
              <w:rPr>
                <w:rFonts w:hint="eastAsia" w:ascii="宋体" w:hAnsi="宋体" w:cs="宋体"/>
                <w:szCs w:val="21"/>
              </w:rPr>
              <w:t xml:space="preserve">摘水果 </w:t>
            </w:r>
          </w:p>
          <w:p>
            <w:pPr>
              <w:spacing w:line="300" w:lineRule="exact"/>
              <w:rPr>
                <w:rFonts w:hint="default" w:asciiTheme="minorEastAsia" w:hAnsiTheme="minorEastAsia" w:eastAsiaTheme="majorEastAsia" w:cs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</w:rPr>
              <w:t>体育：赶小鸭</w:t>
            </w:r>
            <w:r>
              <w:rPr>
                <w:rFonts w:eastAsiaTheme="minorEastAsia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每周一整理：我会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eastAsia="zh-Hans"/>
              </w:rPr>
              <w:t>上厕所、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拉拉链；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乐运动：手脚并用爬、匀速跑；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2.专用活动室：图书室：《水果屋》绘本阅读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戴艳瑜、徐晓敏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戴艳瑜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3FB35DF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42031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BB62EE5"/>
    <w:rsid w:val="4BF74ED8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584387"/>
    <w:rsid w:val="7CBD6589"/>
    <w:rsid w:val="7CC82109"/>
    <w:rsid w:val="7CFFB5EA"/>
    <w:rsid w:val="7D1F7055"/>
    <w:rsid w:val="7D3EEADC"/>
    <w:rsid w:val="7D504147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1103</Characters>
  <Lines>8</Lines>
  <Paragraphs>2</Paragraphs>
  <TotalTime>5</TotalTime>
  <ScaleCrop>false</ScaleCrop>
  <LinksUpToDate>false</LinksUpToDate>
  <CharactersWithSpaces>1161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WPS_1613634913</cp:lastModifiedBy>
  <cp:lastPrinted>2022-02-28T06:21:00Z</cp:lastPrinted>
  <dcterms:modified xsi:type="dcterms:W3CDTF">2023-11-05T12:19:19Z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28647076F6734BBF88C954BBE4E0EFBD_13</vt:lpwstr>
  </property>
</Properties>
</file>