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新北区学前教育徐志国卓越教师成长营工作方案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成长营目标定位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常州市新北区教育系统第二轮“三名”工程之名教师培育工作方案》的文件精神，结合学前教育教师专业特点，依托于领衔人的专业引领，成长营优秀成员们的智慧，以“主动作为，共生共长”的文化，围绕“资源开发助力幼儿游戏向更高水平发展”方向进行专业研究。因此，将徐志国卓越教师成长营的目标定位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以培养有主动性、有担当力的专业教师为目标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卓越教师成长营旨在推进区教师队伍建设，提升教师的专业能力和水平，这也是成长营的终极目标之一。成长营将会以多元的管理机制，去促教师主动性的形成，以外部力量等方式去促教师内驱力的生长，培养成长营的教师“我能、我会、我要”的主动性；并在各项目活动中有责任、有担当，高质量的完成各项活动。同步，在各项活动的开展中，提升成员们的“观察-解读-支持”的课程建设能力，养成“发现问题-解决问题-实践验证”的问题研究意识，最终促教师在师幼互动水平、资源运用能力等专业能力水平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以同伴互学、共生共长的学术研究共同体为目</w:t>
      </w:r>
      <w:r>
        <w:rPr>
          <w:rFonts w:hint="eastAsia"/>
          <w:b/>
          <w:bCs/>
          <w:lang w:val="en-US" w:eastAsia="zh-CN"/>
        </w:rPr>
        <w:t>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卓越教师成长营是一个学习共同体。本成长营将会带领区优秀教师就“资源开发助力幼儿游戏向更高水平发展”为研究点开展学术研究。成长营将会组建项目研究小组，资源共享小组等共享学习资源、共探游戏现成、共研学术话题……借助团队的资源，以项目促行动，让成员们共生共长，收获研究的经验与策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成员培养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成员情况分析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通过全区选拔，本次有17名成员正式进入到徐志国卓越教师成长营。具体信息如下：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069"/>
        <w:gridCol w:w="1036"/>
        <w:gridCol w:w="1276"/>
        <w:gridCol w:w="131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06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园所</w:t>
            </w:r>
          </w:p>
        </w:tc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8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银河幼儿园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恽丽华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1991.12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常州市骨干教师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汤庄桥幼儿园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黄  丽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1989.09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幼儿园二级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银河幼儿园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李伟林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1994.05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常州市教坛新秀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三井街道中心幼儿园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  红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1988.06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幼儿园二级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三井街道藻江花园幼儿园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吴莉樱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1987.07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三井街道华山幼儿园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林  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1985.04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三井街道国宾花园幼儿园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朱  琳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1989.22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幼儿园二级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常州市骨干教师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三井街道河海幼儿园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何洪秀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1987.07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常州市骨干教师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龙虎塘街道中心幼儿园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许惠莲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1985.09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钟楼区骨干教师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龙虎塘街道中心幼儿园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肖  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1992.12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幼儿园二级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常州市教坛新秀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新桥街道中心幼儿园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周丽佼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1990.02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新桥街道中心幼儿园（新龙湖）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黄  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1990.02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常州市骨干教师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春江中心幼儿园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徐惠芬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1990.06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常州市骨干教师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百丈中心幼儿园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陈  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1988.10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幼儿园二级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圩塘中心幼儿园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蒋  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1987.04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幼儿园二级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银河香槟湖幼儿园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吴海燕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1990.06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幼儿园二级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新北区教学能手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</w:t>
            </w:r>
          </w:p>
        </w:tc>
        <w:tc>
          <w:tcPr>
            <w:tcW w:w="3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飞龙幼儿园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丁亚丽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1991.01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幼儿园一级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新北区学科带头人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</w:pPr>
      <w:r>
        <w:drawing>
          <wp:inline distT="0" distB="0" distL="114300" distR="114300">
            <wp:extent cx="2877820" cy="1635760"/>
            <wp:effectExtent l="4445" t="4445" r="13335" b="36195"/>
            <wp:docPr id="2" name="图表 1" descr="7b0a202020202263686172745265734964223a202232303437353936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drawing>
          <wp:inline distT="0" distB="0" distL="114300" distR="114300">
            <wp:extent cx="2725420" cy="1621155"/>
            <wp:effectExtent l="4445" t="4445" r="13335" b="12700"/>
            <wp:docPr id="3" name="图表 2" descr="7b0a202020202263686172745265734964223a202232303436393939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过以上信息分析发现，17人的平均年龄在34岁左右，且17人中有幼儿园一级职称的有10人；所有成员均有专业称号，其中市骨干教师5人、市教坛新秀2人、区骨干教师6人、区教学能手1人、区学科带头人3人。所有成员均有参与课题研究的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且老师们分布在17个不同幼儿园，各园所研究的重点、亮点、特色各不相同，均能成为成长营成员们专业发展的有力保障。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这是一支成熟稳重、有着较强研究经验、有上进心具有发展力的队伍。成员们的研究能力与专业能力，为后期的项目活动建设提供推动作用。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同时在研究的领域上，对于“资源”的研究有一定的经验，但更多的是基于园所发展现状的散点式研究，且对“资源”的使用上以课程建设为主，有一定的课程意识；对整体幼儿的发展有这关注，对于个性化幼儿的发展研究不足；同步，对游戏的研究上以室内游戏为主，且对资源的运用不足，因此，基于以上分析，成长营的研究重点为“</w:t>
      </w:r>
      <w:r>
        <w:rPr>
          <w:rFonts w:hint="eastAsia"/>
          <w:lang w:val="en-US" w:eastAsia="zh-CN"/>
        </w:rPr>
        <w:t>资源开发助力幼儿游戏向更高水平发展</w:t>
      </w:r>
      <w:r>
        <w:rPr>
          <w:rFonts w:hint="eastAsia" w:ascii="宋体" w:hAnsi="宋体" w:eastAsia="宋体" w:cs="宋体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成员发展目标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有内驱力的研究型教师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借助成长营的运营机制，借各项目活动的开展，培养“我要、我能、我上”的主动作为的教师团队；在项目研究中，培养自主发展意识强烈，并愿意落地实践的，肯吃苦肯钻研的研究型教师；在同伴共学、团队协作中培养有互助、补位意识团结协作的团队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有经验生长的专业型教师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成长营（含领衔人）的专业支持与引领下，通过对“资源与游戏”的三年研究中，成长营的成员能够在市、区级梯队建设中有提升，在职称晋升有突破，或在省、市、区案例论文评比等各项活动中获一、二等奖，在课题研究中能获得市区级一二等奖，成长营的成员成为园所的骨干与核心力量，并在一定范围内提高知名度和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项目建设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项目名称</w:t>
      </w:r>
      <w:r>
        <w:rPr>
          <w:rFonts w:hint="eastAsia"/>
          <w:lang w:val="en-US" w:eastAsia="zh-CN"/>
        </w:rPr>
        <w:t>：资源开发助力幼儿游戏向更高水平发展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项目定位：</w:t>
      </w:r>
      <w:r>
        <w:rPr>
          <w:rFonts w:hint="eastAsia"/>
          <w:lang w:val="en-US" w:eastAsia="zh-CN"/>
        </w:rPr>
        <w:t>基于“从幼儿中来——到幼儿中去”的原则，以幼儿兴趣需要以及幼儿能力发展所需挖掘优质资源，并运用资源，旨在通过对资源的深入研究，挖掘资源的充分价值，提升教师的观察能力、资源运用能力、游戏创设能力，以此促进幼儿游戏向更高水平发展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项目目标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目标：在系统调查幼儿园当下游戏资源建设的现状以及面临的挑战；进一步明晰幼儿园推动资源建设的价值和意义，进一步概括资源开发、游戏的创设与幼儿游戏水平发展的关系；总结、提炼幼儿园游戏资源建设的基本思路、方法和策略，努力实现相关理论与实践创新，转变教师的儿童观、资源观，为实现幼儿游戏水平向更高水平发展提供依据。</w:t>
      </w:r>
    </w:p>
    <w:p>
      <w:pPr>
        <w:adjustRightInd w:val="0"/>
        <w:snapToGrid w:val="0"/>
        <w:spacing w:line="360" w:lineRule="exact"/>
        <w:ind w:left="315"/>
        <w:rPr>
          <w:b/>
        </w:rPr>
      </w:pPr>
      <w:r>
        <w:rPr>
          <w:rFonts w:hint="eastAsia"/>
          <w:b/>
        </w:rPr>
        <w:t>具体</w:t>
      </w:r>
      <w:r>
        <w:rPr>
          <w:rFonts w:hint="eastAsia"/>
          <w:b/>
          <w:lang w:val="en-US" w:eastAsia="zh-CN"/>
        </w:rPr>
        <w:t>目标</w:t>
      </w:r>
      <w:r>
        <w:rPr>
          <w:rFonts w:hint="eastAsia"/>
          <w:b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0" w:name="OLE_LINK41"/>
      <w:bookmarkStart w:id="1" w:name="OLE_LINK42"/>
      <w:r>
        <w:rPr>
          <w:rFonts w:hint="eastAsia" w:asciiTheme="majorEastAsia" w:hAnsiTheme="majorEastAsia" w:eastAsiaTheme="majorEastAsia" w:cstheme="majorEastAsia"/>
          <w:lang w:val="en-US" w:eastAsia="zh-CN"/>
        </w:rPr>
        <w:t>梳理幼儿园游戏资源建设的理论框架，明晰促进幼儿游戏向更高水平发展的资源运用的内涵、价值取向与特征。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Hans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通过游戏资源的建设，构建幼儿经验获得的渠道，丰富幼儿的游戏内容、尝试转变幼儿的学习方式，支持幼儿游戏向更高水平发展；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Hans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梳理促进幼儿游戏向更高水平发展的资源建设的路径和基本策略，架构“资源--游戏--能力发展”之间的内在关系，推动幼儿园游戏创设的水平；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借助对游戏资源的研究，转变教师的儿童观与课程观，提升教师对生活中资源的敏感度，增强对资源的开发与利用的能力，形成资源与游戏对接的思维模式。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建设内容：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幼儿园当下游戏资源建设的现状调查研究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借助成员们的集体智慧共同研制调查工具与调查内容的设计，并在成员所在幼儿园进行多元化的现状调查，对调查信息进行诊断分析，进一步明晰此话题下的研究基础与研究内容；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幼儿园游戏资源促幼儿游戏向更高水平发展的价值研究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尝试梳理幼儿园游戏资源建设的理论框架，明晰资源与游戏以及幼儿之间的内在关系，明晰幼儿园游戏资源促幼儿游戏向更高水平发展的内涵、价值取向与基本特征。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幼儿园游戏资源建设的基本路径与行动策略研究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幼儿日常生活中的游戏资源进行盘点和梳理，盘点适合幼儿游戏的资源表；从“资源剖析、可能发展价值、游戏预设、资源开发与利用”四个维度对游戏资源进行挖掘与运用；探索促进幼儿游戏向更高水平发展的基本路径与实施策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在组织形式上，以每月一次活动运用成长营。包含读书交流、现场观摩与研讨、经验分享（案例或讲座）、专题研讨为主要开展形式。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借助成长营的多元运营机制，促成员们的内驱力的发展与建设，促成长营各项活动高质量开展，促成长营成员们的专业能力的发展。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具体举措：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扎实阅读，丰盈内涵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同阅读《以儿童为中心的反思性课程设计》，养成每天阅读、自主思考的习惯。每人做一次“领读人”，一领方向，熟悉该章节的基本结构，制定2-3个核心话题，引导成员带着任务有目的地展开阅读；二领过程，掌握成员的阅读进度，定期开展对话交流、教研分享；三领成效，梳理阅读成果、理论经验、实践做法，形成文本，便于成员间、区域幼儿园间的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具体组织操作上，每月的章节领读秉持“三个一”工程:第一周，发本章节的脉络结构;第二周，围绕章节内容提供三个核心问题，引领大家目的性细读;第三周，走进研讨对话现场，就章节中自己研读的智慧和实践的经验，困惑展开对话。（附：</w:t>
      </w:r>
      <w:r>
        <w:rPr>
          <w:rFonts w:hint="eastAsia"/>
          <w:lang w:val="en-US" w:eastAsia="zh-Hans"/>
        </w:rPr>
        <w:t>《</w:t>
      </w:r>
      <w:r>
        <w:rPr>
          <w:rFonts w:hint="eastAsia"/>
          <w:lang w:val="en-US" w:eastAsia="zh-CN"/>
        </w:rPr>
        <w:t>以儿童为中心的反思性课程设计</w:t>
      </w:r>
      <w:r>
        <w:rPr>
          <w:rFonts w:hint="eastAsia"/>
          <w:lang w:val="en-US" w:eastAsia="zh-Hans"/>
        </w:rPr>
        <w:t>》领读安排表</w:t>
      </w:r>
      <w:r>
        <w:rPr>
          <w:rFonts w:hint="eastAsia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（二）现场观摩，带着问题意识研讨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于对幼儿园游戏资源建设的调查，梳理游戏资源建设的现状。每一次现场针对问题与困惑有针对性的进行研究，开放真实的现场。成员们带着问题意识进入现场，以“发现问题-分析问题-解决问题”的思路观幼儿游戏水平，思促幼儿游戏水平提升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（三）专题案例分享，呈现研究经验的落地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长营是教师专业提升发展的重要平台之一，日常经验的积累非常重要，是对个人经历的回顾与反思，是日常经验的梳理，是验证实操的有效性的方式之一。因此，案例的积累与撰写对教师专业能力的发展至关重要。在每月的成长营活动开展中，就当月研究点的实践现场呈现案例介绍，梳理游戏资源建设的路径与步骤，看研究经验的落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（四）专题教研，有的放矢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在基于园所游戏资源建设的问卷调查，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从教师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游戏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资源开发的角度来梳理现状面临的实际困难是什么</w:t>
      </w: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园所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游戏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资源机制建立存在的问题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开展了沙龙研讨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有针对性的开展专题沙龙</w:t>
      </w: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解决现实的问题</w:t>
      </w: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梳理实操的经验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。（具体教研话题结合后期调查后来进行）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（五）本学期每月共研活动安排</w:t>
      </w:r>
    </w:p>
    <w:tbl>
      <w:tblPr>
        <w:tblStyle w:val="5"/>
        <w:tblW w:w="905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1261"/>
        <w:gridCol w:w="1433"/>
        <w:gridCol w:w="2698"/>
        <w:gridCol w:w="1050"/>
        <w:gridCol w:w="1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  <w:t>月份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  <w:t>（每月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月中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  <w:t>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读书沙龙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现场观摩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专题案例分享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专题教研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活动地点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  <w:t>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  <w:t>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Hans" w:bidi="ar-SA"/>
              </w:rPr>
              <w:t>月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六、组织架构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1.助理：恽丽华、黄丽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统领成长营内部事务，计划与实施成长营内部活动与外部学习。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2.研究管理小组（暂定）：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科学区游戏资源研究小组（未定）、益智区游戏资源研究小组（未定）、户外游戏资源研究小组（未定）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根据成员发展需要建设研究小组，引领各研究小组研究计划、内容与路径。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3.公众号小组：2人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建设成长营辐射与学习平台，推送成长营历次活动与经验成果。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4.好书共读小组：2人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基于成员需要，制定共读与选读计划与内容，组织实施阅读。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5.资源共享小组：2人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基于每月研究重点，多元收集资源素材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5.资料整理小组：1人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梳理各次活动会议，梳理各项经验成果文本资料。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2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七、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．成员发展预期成果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</w:pPr>
      <w:bookmarkStart w:id="2" w:name="_GoBack"/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（1）教科研成果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力求每位成长营成员开展微型课题研究，力争申报成功区级及以上课题2项，力争60篇论文在省、市级以上发表或获奖。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br w:type="textWrapping"/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 xml:space="preserve">    （2）专业称号发展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力争有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位成员被评为市骨干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或市学带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；力争有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位学员被评为区学科带头人；力争有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位学员被评为区骨干教师。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br w:type="textWrapping"/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 xml:space="preserve">    （3）业务竞赛成果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br w:type="textWrapping"/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 xml:space="preserve">    成长营成员在培训活动中每年每位成员均要开设研究课；争取在区级以上优质课评比、基本功竞赛、教学设计等方面获奖。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八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、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运行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成长营成员主要从出勤情况、开展教研活动情况、协助主持人开展工作情况等方面进行考核，具体内容参照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《运营机制》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184B1"/>
    <w:multiLevelType w:val="singleLevel"/>
    <w:tmpl w:val="85018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7F9EE7"/>
    <w:multiLevelType w:val="singleLevel"/>
    <w:tmpl w:val="877F9E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29421B8"/>
    <w:multiLevelType w:val="singleLevel"/>
    <w:tmpl w:val="A29421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C657DD"/>
    <w:multiLevelType w:val="singleLevel"/>
    <w:tmpl w:val="CDC657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6FBE5D1"/>
    <w:multiLevelType w:val="singleLevel"/>
    <w:tmpl w:val="06FBE5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1FF4505"/>
    <w:multiLevelType w:val="singleLevel"/>
    <w:tmpl w:val="31FF45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4DF4F74B"/>
    <w:multiLevelType w:val="singleLevel"/>
    <w:tmpl w:val="4DF4F7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2D08A81"/>
    <w:multiLevelType w:val="singleLevel"/>
    <w:tmpl w:val="52D08A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Dk0NmZhZGUxNzE1OGUwODFhYjE1NjAzN2QyYWYifQ=="/>
  </w:docVars>
  <w:rsids>
    <w:rsidRoot w:val="3D2016CE"/>
    <w:rsid w:val="288129D7"/>
    <w:rsid w:val="31077D7C"/>
    <w:rsid w:val="3D2016CE"/>
    <w:rsid w:val="698060B5"/>
    <w:rsid w:val="6F20011E"/>
    <w:rsid w:val="6FD15350"/>
    <w:rsid w:val="777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line="600" w:lineRule="exact"/>
      <w:ind w:firstLine="720" w:firstLineChars="200"/>
      <w:jc w:val="both"/>
      <w:textAlignment w:val="baseline"/>
    </w:pPr>
    <w:rPr>
      <w:rFonts w:ascii="Courier New" w:hAnsi="Courier New" w:eastAsia="楷体_GB2312"/>
      <w:b/>
      <w:color w:val="000000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成长营成员职称情况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[工作簿1]Sheet1!$B$1</c:f>
              <c:strCache>
                <c:ptCount val="1"/>
                <c:pt idx="0">
                  <c:v>人数</c:v>
                </c:pt>
              </c:strCache>
            </c:strRef>
          </c:tx>
          <c:spPr>
            <a:ln w="15875">
              <a:solidFill>
                <a:schemeClr val="bg1"/>
              </a:solidFill>
            </a:ln>
            <a:effectLst>
              <a:outerShdw blurRad="63500" sx="102000" sy="102000" algn="ctr" rotWithShape="0">
                <a:schemeClr val="tx1">
                  <a:lumMod val="50000"/>
                  <a:lumOff val="50000"/>
                  <a:alpha val="40000"/>
                </a:schemeClr>
              </a:outerShdw>
            </a:effectLst>
            <a:sp3d contourW="15875"/>
          </c:spPr>
          <c:explosion val="0"/>
          <c:dPt>
            <c:idx val="0"/>
            <c:bubble3D val="0"/>
            <c:spPr>
              <a:pattFill prst="dkUpDiag">
                <a:fgClr>
                  <a:schemeClr val="accent3"/>
                </a:fgClr>
                <a:bgClr>
                  <a:schemeClr val="accent3">
                    <a:lumMod val="60000"/>
                    <a:lumOff val="40000"/>
                  </a:schemeClr>
                </a:bgClr>
              </a:pattFill>
              <a:ln w="15875">
                <a:solidFill>
                  <a:schemeClr val="bg1"/>
                </a:solidFill>
              </a:ln>
              <a:effectLst>
                <a:outerShdw blurRad="63500" sx="102000" sy="102000" algn="ctr" rotWithShape="0">
                  <a:schemeClr val="tx1">
                    <a:lumMod val="50000"/>
                    <a:lumOff val="50000"/>
                    <a:alpha val="40000"/>
                  </a:schemeClr>
                </a:outerShdw>
              </a:effectLst>
              <a:sp3d contourW="15875"/>
            </c:spPr>
          </c:dPt>
          <c:dPt>
            <c:idx val="1"/>
            <c:bubble3D val="0"/>
            <c:spPr>
              <a:gradFill>
                <a:gsLst>
                  <a:gs pos="0">
                    <a:schemeClr val="accent5">
                      <a:lumMod val="60000"/>
                      <a:lumOff val="40000"/>
                    </a:schemeClr>
                  </a:gs>
                  <a:gs pos="80000">
                    <a:schemeClr val="accent5"/>
                  </a:gs>
                </a:gsLst>
                <a:lin ang="2700000" scaled="0"/>
              </a:gradFill>
              <a:ln w="15875">
                <a:solidFill>
                  <a:schemeClr val="bg1"/>
                </a:solidFill>
              </a:ln>
              <a:effectLst>
                <a:outerShdw blurRad="63500" sx="102000" sy="102000" algn="ctr" rotWithShape="0">
                  <a:schemeClr val="tx1">
                    <a:lumMod val="50000"/>
                    <a:lumOff val="50000"/>
                    <a:alpha val="40000"/>
                  </a:schemeClr>
                </a:outerShdw>
              </a:effectLst>
              <a:sp3d contourW="15875"/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chemeClr val="lt1"/>
                </a:solidFill>
                <a:ln>
                  <a:solidFill>
                    <a:schemeClr val="accent3"/>
                  </a:solidFill>
                </a:ln>
                <a:effectLst>
                  <a:outerShdw blurRad="63500" sx="102000" sy="102000" algn="ctr" rotWithShape="0">
                    <a:schemeClr val="accent3">
                      <a:lumMod val="50000"/>
                      <a:alpha val="40000"/>
                    </a:schemeClr>
                  </a:outerShdw>
                </a:effectLst>
              </c:spPr>
              <c:txPr>
                <a:bodyPr rot="0" spcFirstLastPara="0" vertOverflow="clip" vert="horz" wrap="square" lIns="36576" tIns="18288" rIns="36576" bIns="18288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accent3">
                          <a:lumMod val="75000"/>
                          <a:alpha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chemeClr val="lt1"/>
                </a:solidFill>
                <a:ln>
                  <a:solidFill>
                    <a:schemeClr val="accent5"/>
                  </a:solidFill>
                </a:ln>
                <a:effectLst>
                  <a:outerShdw blurRad="63500" sx="102000" sy="102000" algn="ctr" rotWithShape="0">
                    <a:schemeClr val="accent5">
                      <a:lumMod val="50000"/>
                      <a:alpha val="40000"/>
                    </a:schemeClr>
                  </a:outerShdw>
                </a:effectLst>
              </c:spPr>
              <c:txPr>
                <a:bodyPr rot="0" spcFirstLastPara="0" vertOverflow="clip" vert="horz" wrap="square" lIns="36576" tIns="18288" rIns="36576" bIns="18288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clip" horzOverflow="clip" vert="horz" wrap="square" lIns="36576" tIns="18288" rIns="36576" bIns="18288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[工作簿1]Sheet1!$A$2:$A$3</c:f>
              <c:strCache>
                <c:ptCount val="2"/>
                <c:pt idx="0">
                  <c:v>幼儿园一级</c:v>
                </c:pt>
                <c:pt idx="1">
                  <c:v>幼儿园二级</c:v>
                </c:pt>
              </c:strCache>
            </c:strRef>
          </c:cat>
          <c:val>
            <c:numRef>
              <c:f>[工作簿1]Sheet1!$B$2:$B$3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成长营成员专业称号分布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[工作簿1]Sheet1!$I$1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 w="12700">
              <a:noFill/>
            </a:ln>
            <a:effectLst/>
            <a:sp3d contourW="12700"/>
          </c:spPr>
          <c:explosion val="3"/>
          <c:dPt>
            <c:idx val="0"/>
            <c:bubble3D val="0"/>
            <c:spPr>
              <a:solidFill>
                <a:schemeClr val="accent1"/>
              </a:solidFill>
              <a:ln w="12700">
                <a:noFill/>
              </a:ln>
              <a:effectLst/>
              <a:sp3d contourW="12700"/>
            </c:spPr>
          </c:dPt>
          <c:dPt>
            <c:idx val="1"/>
            <c:bubble3D val="0"/>
            <c:spPr>
              <a:solidFill>
                <a:schemeClr val="accent2"/>
              </a:solidFill>
              <a:ln w="12700">
                <a:noFill/>
              </a:ln>
              <a:effectLst/>
              <a:sp3d contourW="12700"/>
            </c:spPr>
          </c:dPt>
          <c:dPt>
            <c:idx val="2"/>
            <c:bubble3D val="0"/>
            <c:spPr>
              <a:solidFill>
                <a:schemeClr val="accent3"/>
              </a:solidFill>
              <a:ln w="12700">
                <a:noFill/>
              </a:ln>
              <a:effectLst/>
              <a:sp3d contourW="12700"/>
            </c:spPr>
          </c:dPt>
          <c:dPt>
            <c:idx val="3"/>
            <c:bubble3D val="0"/>
            <c:spPr>
              <a:solidFill>
                <a:schemeClr val="accent4"/>
              </a:solidFill>
              <a:ln w="12700">
                <a:noFill/>
              </a:ln>
              <a:effectLst/>
              <a:sp3d contourW="12700"/>
            </c:spPr>
          </c:dPt>
          <c:dPt>
            <c:idx val="4"/>
            <c:bubble3D val="0"/>
            <c:spPr>
              <a:solidFill>
                <a:schemeClr val="accent5"/>
              </a:solidFill>
              <a:ln w="12700">
                <a:noFill/>
              </a:ln>
              <a:effectLst/>
              <a:sp3d contourW="12700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1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[工作簿1]Sheet1!$H$2:$H$6</c:f>
              <c:strCache>
                <c:ptCount val="5"/>
                <c:pt idx="0">
                  <c:v>常州市骨干教师</c:v>
                </c:pt>
                <c:pt idx="1">
                  <c:v>常州市教坛新秀</c:v>
                </c:pt>
                <c:pt idx="2">
                  <c:v>区骨干教师</c:v>
                </c:pt>
                <c:pt idx="3">
                  <c:v>新北区学科带头人</c:v>
                </c:pt>
                <c:pt idx="4">
                  <c:v>新北区教学能手</c:v>
                </c:pt>
              </c:strCache>
            </c:strRef>
          </c:cat>
          <c:val>
            <c:numRef>
              <c:f>[工作簿1]Sheet1!$I$2:$I$6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25.1">
    <a:dk1>
      <a:srgbClr val="000000"/>
    </a:dk1>
    <a:lt1>
      <a:srgbClr val="FFFFFF"/>
    </a:lt1>
    <a:dk2>
      <a:srgbClr val="000000"/>
    </a:dk2>
    <a:lt2>
      <a:srgbClr val="FFFFFF"/>
    </a:lt2>
    <a:accent1>
      <a:srgbClr val="FFE3BD"/>
    </a:accent1>
    <a:accent2>
      <a:srgbClr val="FFCCA9"/>
    </a:accent2>
    <a:accent3>
      <a:srgbClr val="FEAC92"/>
    </a:accent3>
    <a:accent4>
      <a:srgbClr val="69AF99"/>
    </a:accent4>
    <a:accent5>
      <a:srgbClr val="388C7D"/>
    </a:accent5>
    <a:accent6>
      <a:srgbClr val="14615E"/>
    </a:accent6>
    <a:hlink>
      <a:srgbClr val="F0B091"/>
    </a:hlink>
    <a:folHlink>
      <a:srgbClr val="B18B6F"/>
    </a:folHlink>
  </a:clrScheme>
  <a:fontScheme name="Office Classic 2">
    <a:maj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自定义 94">
    <a:dk1>
      <a:srgbClr val="000000"/>
    </a:dk1>
    <a:lt1>
      <a:srgbClr val="FFFFFF"/>
    </a:lt1>
    <a:dk2>
      <a:srgbClr val="0C0E1F"/>
    </a:dk2>
    <a:lt2>
      <a:srgbClr val="FEFFFF"/>
    </a:lt2>
    <a:accent1>
      <a:srgbClr val="00B2CC"/>
    </a:accent1>
    <a:accent2>
      <a:srgbClr val="FCB040"/>
    </a:accent2>
    <a:accent3>
      <a:srgbClr val="BFD546"/>
    </a:accent3>
    <a:accent4>
      <a:srgbClr val="2E6480"/>
    </a:accent4>
    <a:accent5>
      <a:srgbClr val="FF7B00"/>
    </a:accent5>
    <a:accent6>
      <a:srgbClr val="BE1D2C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2897</Words>
  <Characters>2910</Characters>
  <Lines>0</Lines>
  <Paragraphs>0</Paragraphs>
  <TotalTime>105</TotalTime>
  <ScaleCrop>false</ScaleCrop>
  <LinksUpToDate>false</LinksUpToDate>
  <CharactersWithSpaces>2928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2023-10-22T01:34:00Z</dcterms:created>
  <dc:creator>yun恽</dc:creator>
  <cp:lastModifiedBy>yun恽</cp:lastModifiedBy>
  <dcterms:modified xsi:type="dcterms:W3CDTF">2023-10-24T17:07:17Z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07517FF33F7B490C9BAFF4D2B391C225_11</vt:lpwstr>
  </property>
</Properties>
</file>