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张云杰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eastAsia="zh-CN"/>
        </w:rPr>
        <w:t>中小学二级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张云杰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课程教学处副主任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202212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专技十一级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202012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2021-2022年度考核优秀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2021年市教学成果二等奖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市公开课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4节、区公开课6节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2017信息化评比二等奖；2019评优课三等奖；2023信息化评比一等奖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区级《数学游戏运用于小学数学课堂的教学研究》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省级《经验课堂背景下深度学习的教学实践研究》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2021考试周刊《数学游戏应用于小学数学课堂的教学策略研究》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2023教科研论文二等奖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中小学一级教师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理论学习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研读新课标、心理学等理论书籍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进一步加强理论学习，提升数学文化素养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论文发表平台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认真上好区级研究课、积极开展课题研究、撰写高质量论文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课例研究、课题方向、论文审查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新课标、小学教学设计、小学数学教育、心理学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公开课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区信息化评比一等奖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市级《小学数学游戏课程的开发与实施》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1篇、获奖1篇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区优秀教育工作者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市教学成果一等奖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区学带、市骨干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论文发表平台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新课标、小学教学设计、小学数学教育、心理学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公开课1节或讲座1节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市级《小学数学游戏课程的开发与实施》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1篇、获奖1篇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省教学成果奖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区学带、市骨干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论文发表平台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新课标、小学教学设计、小学数学教育、心理学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公开课1节或讲座1节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市级《小学数学游戏课程的开发与实施》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1篇、获奖1篇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省教学成果奖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市骨干、市学带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论文发表平台</w:t>
            </w:r>
            <w:bookmarkStart w:id="0" w:name="_GoBack"/>
            <w:bookmarkEnd w:id="0"/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YzUxZWY0OTQzYWZiZjQ3MTQ5ODY3ZGNmMzhkZDY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03C926DB"/>
    <w:rsid w:val="129D1317"/>
    <w:rsid w:val="225C289E"/>
    <w:rsid w:val="2C257F2F"/>
    <w:rsid w:val="73261A7B"/>
    <w:rsid w:val="759F5B15"/>
    <w:rsid w:val="7A5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29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Administrator</cp:lastModifiedBy>
  <dcterms:modified xsi:type="dcterms:W3CDTF">2023-11-05T01:53:48Z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6FA55AEFF0D141DF8344108E9C19DF64_13</vt:lpwstr>
  </property>
</Properties>
</file>