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卓越成长营运营机制</w:t>
      </w:r>
    </w:p>
    <w:p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一、成长营管理网络及人员分工</w:t>
      </w:r>
    </w:p>
    <w:p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最大限度激发成员的潜力，确保人员和岗位之间的最佳匹配，使用“因人设岗”“主动报名”两种设置方法，形成组织整体研究形态上能各司其职进行运转。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管   理   网   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公众号组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读书管理组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活动管理组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总负责：黄丽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总负责：林洁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总负责：恽丽华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840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读书：林洁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案例审核：恽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活动组织审核：恽、黄、林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每组组长小组管理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每月活动统筹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82" w:firstLineChars="20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二、名师出高徒效应机制</w:t>
      </w:r>
    </w:p>
    <w:p>
      <w:pPr>
        <w:widowControl w:val="0"/>
        <w:numPr>
          <w:ilvl w:val="0"/>
          <w:numId w:val="0"/>
        </w:numPr>
        <w:ind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师承效应机制是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个继承与发展的过程。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卓越成长营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通过悉心培养、搭建平台、引领成长，促进教师专业发展，实现师承效应。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需要经历分析剖析自身优劣势制定成长方向——显性隐性师承碰撞引领——适时成员实践反馈情况——搭建广阔平台指导——严格把关提出不足——创建高水平“人才链”循环过程，最后实现“名师出高徒”的过程。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3040" cy="2515870"/>
            <wp:effectExtent l="0" t="0" r="3810" b="17780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482" w:firstLineChars="20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二、互惠共享社群学习机制</w:t>
      </w:r>
    </w:p>
    <w:p>
      <w:pPr>
        <w:widowControl w:val="0"/>
        <w:numPr>
          <w:ilvl w:val="0"/>
          <w:numId w:val="0"/>
        </w:numPr>
        <w:ind w:firstLine="481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形成项目研究小组。每组除了每月一次现场活动，定时围绕“资源与游戏”，聚焦一个点进行研究实践，并形成定期经验文案梳理。每组每月一次回顾组员反馈实践情况，引发组员讨论，并进行下阶段研究。困难问题上报给名师层面，集体讨论解决。</w:t>
      </w:r>
    </w:p>
    <w:p>
      <w:pPr>
        <w:widowControl w:val="0"/>
        <w:numPr>
          <w:ilvl w:val="0"/>
          <w:numId w:val="0"/>
        </w:numPr>
        <w:ind w:firstLine="481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2.形成学习精读小组。以研究内容为点形成个人学习共享、社群组学习话题研讨、定时各组社群双向交流、名师空间对话模式，形成一对多、多到多、多到精的学习互动交流共享圈。</w:t>
      </w:r>
    </w:p>
    <w:p>
      <w:pPr>
        <w:widowControl w:val="0"/>
        <w:numPr>
          <w:ilvl w:val="0"/>
          <w:numId w:val="0"/>
        </w:numPr>
        <w:ind w:firstLine="481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191125" cy="3448050"/>
            <wp:effectExtent l="0" t="0" r="9525" b="0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三、共生共长效应机制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（一）凝聚力是存在于组织成员中的一种力量。这种力量是在共同目标之下，教师通过紧密合作所产生的。分析其成员的有和缺，形成互通互补，资源共享，建立成员之间整体的高紧密程度，促进其合作行为,促进信息流通较为畅通,能够取得的较好研究效果。</w:t>
      </w:r>
    </w:p>
    <w:p>
      <w:pPr>
        <w:widowControl w:val="0"/>
        <w:numPr>
          <w:ilvl w:val="0"/>
          <w:numId w:val="0"/>
        </w:numPr>
        <w:ind w:leftChars="0"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（二）竞争力是促进组织成员能用不同认知来研究当下内容的突破，考验其卓越成长教师对当下研究实效的验证，促进教师自我反思优劣势，快速促进成长。</w:t>
      </w:r>
    </w:p>
    <w:p>
      <w:pPr>
        <w:widowControl w:val="0"/>
        <w:numPr>
          <w:ilvl w:val="0"/>
          <w:numId w:val="0"/>
        </w:numPr>
        <w:ind w:leftChars="0"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（三）拓展力是不仅仅是在致力于本成长营的范围，更会建立与其他平台的机会，借力名师和其他领域专家的摄入拓展，让成员思维向三维不断延伸，促进其研究的多种视角的发展。</w:t>
      </w:r>
    </w:p>
    <w:p>
      <w:pPr>
        <w:widowControl w:val="0"/>
        <w:numPr>
          <w:ilvl w:val="0"/>
          <w:numId w:val="0"/>
        </w:numPr>
        <w:ind w:leftChars="0"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制定为以下考核方案：</w:t>
      </w:r>
    </w:p>
    <w:p>
      <w:pPr>
        <w:widowControl w:val="0"/>
        <w:numPr>
          <w:ilvl w:val="0"/>
          <w:numId w:val="1"/>
        </w:numPr>
        <w:ind w:left="361" w:leftChars="0" w:firstLine="0" w:firstLineChars="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形成项目研究小组。每组除了每月一次现场活动，定时围绕“资源与游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戏”，聚焦一个点进行研究实践，并形成定期经验文案梳理。每组每月一次回顾组员反馈实践情况，引发组员讨论，并进行下阶段研究。困难问题上报给名师层面，集体讨论解决。</w:t>
      </w:r>
    </w:p>
    <w:p>
      <w:pPr>
        <w:widowControl w:val="0"/>
        <w:numPr>
          <w:ilvl w:val="0"/>
          <w:numId w:val="1"/>
        </w:numPr>
        <w:ind w:left="361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形成定时卓越成长教师教学评比平台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（演讲比赛、分享交流、环境创设、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游戏组织）。</w:t>
      </w:r>
    </w:p>
    <w:p>
      <w:pPr>
        <w:widowControl w:val="0"/>
        <w:numPr>
          <w:ilvl w:val="0"/>
          <w:numId w:val="1"/>
        </w:numPr>
        <w:ind w:left="361" w:leftChars="0" w:firstLine="0" w:firstLineChars="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积累每月一篇优质游戏案例，营内评选优先上传至公众号。</w:t>
      </w:r>
    </w:p>
    <w:p>
      <w:pPr>
        <w:widowControl w:val="0"/>
        <w:numPr>
          <w:ilvl w:val="0"/>
          <w:numId w:val="1"/>
        </w:numPr>
        <w:ind w:left="361" w:leftChars="0" w:firstLine="0" w:firstLineChars="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每学期一篇论文，学会定时梳理总结。底线：三年内，省二等奖以上2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篇或市级以上正规报刊杂志发表至少2篇。</w:t>
      </w:r>
    </w:p>
    <w:p>
      <w:pPr>
        <w:widowControl w:val="0"/>
        <w:numPr>
          <w:ilvl w:val="0"/>
          <w:numId w:val="1"/>
        </w:numPr>
        <w:ind w:left="361" w:leftChars="0" w:firstLine="0" w:firstLineChars="0"/>
        <w:jc w:val="both"/>
        <w:rPr>
          <w:rFonts w:hint="default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每学期精读加拓展读一本好书，在个人精读的过程中进行拓展文献阅读，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并每组形成定期汇报。</w:t>
      </w:r>
    </w:p>
    <w:p>
      <w:pPr>
        <w:widowControl w:val="0"/>
        <w:numPr>
          <w:ilvl w:val="0"/>
          <w:numId w:val="1"/>
        </w:numPr>
        <w:ind w:left="361" w:leftChars="0" w:firstLine="0" w:firstLineChars="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三年中有梯队或者职称的晋升，或者各类游戏经验评比获二等奖以上。</w:t>
      </w:r>
    </w:p>
    <w:p>
      <w:pPr>
        <w:widowControl w:val="0"/>
        <w:numPr>
          <w:ilvl w:val="0"/>
          <w:numId w:val="1"/>
        </w:numPr>
        <w:ind w:left="361" w:leftChars="0" w:firstLine="0" w:firstLineChars="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每学期一篇成长记，对每学期自我成长进行总结。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成长营以积分制为原则，促进卓越教师在日常研究积极性以及组合团的凝聚力，形成共生共长的效应。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.......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</w:t>
      </w:r>
    </w:p>
    <w:tbl>
      <w:tblPr>
        <w:tblStyle w:val="3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2852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积分内容</w:t>
            </w:r>
          </w:p>
        </w:tc>
        <w:tc>
          <w:tcPr>
            <w:tcW w:w="28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积分数额</w:t>
            </w:r>
          </w:p>
        </w:tc>
        <w:tc>
          <w:tcPr>
            <w:tcW w:w="28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285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组内研究高质量者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组内研究一般质量者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组内主动承担发言或汇报者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2分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1分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2分</w:t>
            </w:r>
          </w:p>
        </w:tc>
        <w:tc>
          <w:tcPr>
            <w:tcW w:w="28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主要看经验梳理情况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和日常提问情况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28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每月活动记录者、组织者、通讯报道撰写者、讲座分享者。</w:t>
            </w:r>
          </w:p>
        </w:tc>
        <w:tc>
          <w:tcPr>
            <w:tcW w:w="28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每项1分</w:t>
            </w:r>
          </w:p>
        </w:tc>
        <w:tc>
          <w:tcPr>
            <w:tcW w:w="28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由恽助理、黄助理统计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活动积极发言者</w:t>
            </w:r>
          </w:p>
        </w:tc>
        <w:tc>
          <w:tcPr>
            <w:tcW w:w="28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2分</w:t>
            </w:r>
          </w:p>
        </w:tc>
        <w:tc>
          <w:tcPr>
            <w:tcW w:w="28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由恽助理、黄助理统计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每月案例评选者</w:t>
            </w:r>
          </w:p>
        </w:tc>
        <w:tc>
          <w:tcPr>
            <w:tcW w:w="28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2分</w:t>
            </w:r>
          </w:p>
        </w:tc>
        <w:tc>
          <w:tcPr>
            <w:tcW w:w="28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由评选组统计分数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论文获奖或发表情况</w:t>
            </w:r>
          </w:p>
        </w:tc>
        <w:tc>
          <w:tcPr>
            <w:tcW w:w="28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二等奖2分，一等奖3分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发表一篇3分</w:t>
            </w:r>
          </w:p>
        </w:tc>
        <w:tc>
          <w:tcPr>
            <w:tcW w:w="28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一学期一统计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读书学习积极者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读书主动申报汇报者</w:t>
            </w:r>
          </w:p>
        </w:tc>
        <w:tc>
          <w:tcPr>
            <w:tcW w:w="28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1分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2分</w:t>
            </w:r>
          </w:p>
        </w:tc>
        <w:tc>
          <w:tcPr>
            <w:tcW w:w="28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学习组长每月统计一次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24"/>
                <w:szCs w:val="24"/>
                <w:lang w:val="en-US" w:eastAsia="zh-CN"/>
              </w:rPr>
              <w:t>卓越成长教师评比平台</w:t>
            </w:r>
          </w:p>
        </w:tc>
        <w:tc>
          <w:tcPr>
            <w:tcW w:w="28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一等奖3分，二等奖2分，三等奖1分。</w:t>
            </w:r>
          </w:p>
        </w:tc>
        <w:tc>
          <w:tcPr>
            <w:tcW w:w="28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由评委进行打分并统计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558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一学期一统计积分总数，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积分最高者给予名师指导论文一篇并发表。</w:t>
            </w:r>
          </w:p>
          <w:p>
            <w:pPr>
              <w:widowControl w:val="0"/>
              <w:numPr>
                <w:ilvl w:val="0"/>
                <w:numId w:val="0"/>
              </w:numPr>
              <w:ind w:firstLine="2650" w:firstLineChars="110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积分最低者</w:t>
            </w:r>
          </w:p>
        </w:tc>
      </w:tr>
    </w:tbl>
    <w:p>
      <w:pPr>
        <w:widowControl w:val="0"/>
        <w:numPr>
          <w:ilvl w:val="0"/>
          <w:numId w:val="0"/>
        </w:numPr>
        <w:ind w:left="361" w:leftChars="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2FC5F0"/>
    <w:multiLevelType w:val="singleLevel"/>
    <w:tmpl w:val="F22FC5F0"/>
    <w:lvl w:ilvl="0" w:tentative="0">
      <w:start w:val="1"/>
      <w:numFmt w:val="decimal"/>
      <w:suff w:val="space"/>
      <w:lvlText w:val="%1."/>
      <w:lvlJc w:val="left"/>
      <w:pPr>
        <w:ind w:left="361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ZWQ4Y2VmZDZhNTYzMDJjODA4ZWE1MzliOTEwYjAifQ=="/>
  </w:docVars>
  <w:rsids>
    <w:rsidRoot w:val="7E167398"/>
    <w:rsid w:val="7E16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2023-10-19T16:30:00Z</dcterms:created>
  <dc:creator>至尊宝</dc:creator>
  <cp:lastModifiedBy>至尊宝</cp:lastModifiedBy>
  <dcterms:modified xsi:type="dcterms:W3CDTF">2023-10-19T16:30:35Z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8F82FE439335444E84DB917D0993D961_11</vt:lpwstr>
  </property>
</Properties>
</file>