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走进秋天（一）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秋天已经悄悄来到了孩子们的身边，凉凉的秋风迎面吹来，人们纷纷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当孩子们出去散步时，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树叶宝宝像翩翩飞舞的蝴蝶飘落下来，红色的、黄色的、绿色的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给大地铺上了一层彩色的地毯；空气中还弥漫着阵阵桂花香，那黄黄的花骨朵迎风绽放</w:t>
            </w:r>
            <w:r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  <w:t>...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孩子们一下子就发现了秋姑娘的到来。于是在与孩子们的谈话中得知：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80.6%的孩子知道天气变得渐渐的凉起来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64.5%的孩子发现秋天的树叶有红的、有黄的还有绿的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，8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3.9%的孩子发现秋天地上的落叶变得多了起来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这些变化深深吸引了孩子们，让他们不断探索更多关于秋天的奥秘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本周我们将和孩子们一起走进自然，来感受秋天不同树叶的神奇、有趣，体验秋天的树林带给人们的幸福与快乐。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能用绘画、语言等多种形式表现秋天树木的变化。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和孩子们一起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在幼儿园</w:t>
            </w:r>
            <w:r>
              <w:rPr>
                <w:rFonts w:hint="eastAsia" w:ascii="宋体" w:hAnsi="宋体"/>
                <w:szCs w:val="21"/>
              </w:rPr>
              <w:t>寻找秋天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带来的变化</w:t>
            </w:r>
            <w:r>
              <w:rPr>
                <w:rFonts w:hint="eastAsia" w:ascii="宋体" w:hAnsi="宋体"/>
                <w:szCs w:val="21"/>
              </w:rPr>
              <w:t>，将这些小秘密以绘画或拍照的形式记录下来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并捡拾一些秋天的落叶于区角中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.在美工区创设</w:t>
            </w:r>
            <w:r>
              <w:rPr>
                <w:rFonts w:hint="eastAsia" w:ascii="宋体" w:hAnsi="宋体"/>
                <w:szCs w:val="21"/>
              </w:rPr>
              <w:t>秋天的“小树林”，用多种方式表现秋天的树林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一景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在区域中增加相应的材料，如在科探区提供各种树叶，让幼儿观察记录叶子的外形特征；在美工区投放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小树枝、树叶</w:t>
            </w:r>
            <w:r>
              <w:rPr>
                <w:rFonts w:hint="eastAsia" w:ascii="宋体" w:hAnsi="宋体"/>
                <w:szCs w:val="21"/>
              </w:rPr>
              <w:t>供幼儿自由创作，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/>
                <w:szCs w:val="21"/>
              </w:rPr>
              <w:t>秋天的树林等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图书区投放一些白纸和水彩笔供幼儿设计秋叶造型的书签；万能工匠提供一些秋天的花园作品支架供幼儿自主搭建学习。</w:t>
            </w:r>
          </w:p>
        </w:tc>
      </w:tr>
      <w:tr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秋季季节干燥，能学会做好防护工作，对手上、嘴唇翘起的皮，做到不乱舔乱撕。</w:t>
            </w:r>
          </w:p>
        </w:tc>
      </w:tr>
      <w:tr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乔老师关注科探区幼儿进行磁铁操作的游戏行为表现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美工区幼儿绘画秋天的树林以及粘土制作秋天的果实的游戏水平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几何图形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default"/>
                <w:color w:val="000000"/>
                <w:szCs w:val="21"/>
              </w:rPr>
              <w:t>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种蘑菇</w:t>
            </w:r>
            <w:r>
              <w:rPr>
                <w:rFonts w:hint="default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有趣的圆柱</w:t>
            </w:r>
            <w:r>
              <w:rPr>
                <w:rFonts w:hint="default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撕贴画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：秋天的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树林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松果小制作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小刺猬、水彩画：秋天的树叶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雪花片：</w:t>
            </w:r>
            <w:r>
              <w:rPr>
                <w:rFonts w:hint="eastAsia"/>
                <w:szCs w:val="21"/>
                <w:lang w:val="en-US" w:eastAsia="zh-CN"/>
              </w:rPr>
              <w:t>菜篮子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胶粒：</w:t>
            </w:r>
            <w:r>
              <w:rPr>
                <w:rFonts w:hint="eastAsia"/>
                <w:szCs w:val="21"/>
                <w:lang w:eastAsia="zh-CN"/>
              </w:rPr>
              <w:t>秋天的</w:t>
            </w:r>
            <w:r>
              <w:rPr>
                <w:rFonts w:hint="eastAsia"/>
                <w:szCs w:val="21"/>
                <w:lang w:val="en-US" w:eastAsia="zh-CN"/>
              </w:rPr>
              <w:t>公园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科探区：</w:t>
            </w:r>
            <w:r>
              <w:rPr>
                <w:rFonts w:hint="eastAsia"/>
                <w:szCs w:val="21"/>
                <w:lang w:val="en-US" w:eastAsia="zh-CN"/>
              </w:rPr>
              <w:t>有趣的磁铁、四季找不同、旋转的乒乓球</w:t>
            </w:r>
            <w:r>
              <w:rPr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szCs w:val="21"/>
              </w:rPr>
              <w:t>阅读区：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小种子》、《一片叶子落下来》、《好饿的毛毛虫》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4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：滑滑梯、皮球、跑步、独木桥、攀爬、跳跃、亿童建构、娃娃家、好玩的沙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综合：我看到的秋天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语言：秋天的颜色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3.数学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6以内的相邻数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          4.美术：树叶变变变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体育：小兔采蘑菇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有趣的磁铁、沉与浮、旋转的乒乓球；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橘子皮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立定跳远、躲避跑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美工室：秋天的树林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乔慧、张淑雅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  <w:r>
        <w:rPr>
          <w:rFonts w:hint="eastAsia" w:ascii="宋体" w:hAnsi="宋体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840"/>
        <w:jc w:val="right"/>
        <w:textAlignment w:val="auto"/>
        <w:outlineLvl w:val="9"/>
      </w:pPr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5AFC120A"/>
    <w:rsid w:val="35947EAE"/>
    <w:rsid w:val="563A74AA"/>
    <w:rsid w:val="57F3D672"/>
    <w:rsid w:val="5AFC120A"/>
    <w:rsid w:val="6B4B15DB"/>
    <w:rsid w:val="7B2350F2"/>
    <w:rsid w:val="7FFA2566"/>
    <w:rsid w:val="B2F7B162"/>
    <w:rsid w:val="BEDFF1C4"/>
    <w:rsid w:val="EFFA9F47"/>
    <w:rsid w:val="FBAFA288"/>
    <w:rsid w:val="FD7E71FD"/>
    <w:rsid w:val="FDA5D33E"/>
    <w:rsid w:val="FFB4B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2019-09-29T18:46:00Z</dcterms:created>
  <dc:creator>Administrator</dc:creator>
  <cp:lastModifiedBy>讨厌</cp:lastModifiedBy>
  <dcterms:modified xsi:type="dcterms:W3CDTF">2023-10-29T19:43:44Z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B256DF79A82601C522453E65BBD6F8FE_43</vt:lpwstr>
  </property>
</Properties>
</file>