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湖塘桥第三实验小学课题研究理论学习摘记</w:t>
      </w:r>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685"/>
        <w:gridCol w:w="2610"/>
        <w:gridCol w:w="1286"/>
        <w:gridCol w:w="21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pPr>
              <w:jc w:val="center"/>
              <w:rPr>
                <w:rFonts w:hint="eastAsia"/>
                <w:sz w:val="28"/>
                <w:szCs w:val="28"/>
              </w:rPr>
            </w:pPr>
            <w:r>
              <w:rPr>
                <w:rFonts w:hint="eastAsia"/>
                <w:sz w:val="28"/>
                <w:szCs w:val="28"/>
              </w:rPr>
              <w:t>资</w:t>
            </w:r>
          </w:p>
          <w:p>
            <w:pPr>
              <w:jc w:val="center"/>
              <w:rPr>
                <w:rFonts w:hint="eastAsia"/>
                <w:sz w:val="28"/>
                <w:szCs w:val="28"/>
              </w:rPr>
            </w:pPr>
            <w:r>
              <w:rPr>
                <w:rFonts w:hint="eastAsia"/>
                <w:sz w:val="28"/>
                <w:szCs w:val="28"/>
              </w:rPr>
              <w:t>料</w:t>
            </w:r>
          </w:p>
          <w:p>
            <w:pPr>
              <w:jc w:val="center"/>
              <w:rPr>
                <w:rFonts w:hint="eastAsia"/>
                <w:sz w:val="28"/>
                <w:szCs w:val="28"/>
              </w:rPr>
            </w:pPr>
            <w:r>
              <w:rPr>
                <w:rFonts w:hint="eastAsia"/>
                <w:sz w:val="28"/>
                <w:szCs w:val="28"/>
              </w:rPr>
              <w:t>来</w:t>
            </w:r>
          </w:p>
          <w:p>
            <w:pPr>
              <w:jc w:val="center"/>
              <w:rPr>
                <w:sz w:val="28"/>
                <w:szCs w:val="28"/>
              </w:rPr>
            </w:pPr>
            <w:r>
              <w:rPr>
                <w:rFonts w:hint="eastAsia"/>
                <w:sz w:val="28"/>
                <w:szCs w:val="28"/>
              </w:rPr>
              <w:t>源</w:t>
            </w:r>
          </w:p>
        </w:tc>
        <w:tc>
          <w:tcPr>
            <w:tcW w:w="1685" w:type="dxa"/>
            <w:vAlign w:val="center"/>
          </w:tcPr>
          <w:p>
            <w:pPr>
              <w:jc w:val="center"/>
              <w:rPr>
                <w:sz w:val="28"/>
                <w:szCs w:val="28"/>
              </w:rPr>
            </w:pPr>
            <w:r>
              <w:rPr>
                <w:rFonts w:hint="eastAsia"/>
                <w:sz w:val="28"/>
                <w:szCs w:val="28"/>
              </w:rPr>
              <w:t>题目</w:t>
            </w:r>
          </w:p>
        </w:tc>
        <w:tc>
          <w:tcPr>
            <w:tcW w:w="2610" w:type="dxa"/>
            <w:vAlign w:val="center"/>
          </w:tcPr>
          <w:p>
            <w:pPr>
              <w:jc w:val="both"/>
              <w:rPr>
                <w:rFonts w:hint="eastAsia" w:eastAsiaTheme="minorEastAsia"/>
                <w:sz w:val="28"/>
                <w:szCs w:val="28"/>
                <w:lang w:val="en-US" w:eastAsia="zh-CN"/>
              </w:rPr>
            </w:pPr>
            <w:r>
              <w:rPr>
                <w:rFonts w:ascii="宋体" w:hAnsi="宋体" w:eastAsia="宋体" w:cs="宋体"/>
                <w:sz w:val="24"/>
                <w:szCs w:val="24"/>
              </w:rPr>
              <w:t>汉字文化融入小学低段语文识字教学 路径研究</w:t>
            </w:r>
          </w:p>
        </w:tc>
        <w:tc>
          <w:tcPr>
            <w:tcW w:w="1286" w:type="dxa"/>
            <w:vAlign w:val="center"/>
          </w:tcPr>
          <w:p>
            <w:pPr>
              <w:jc w:val="center"/>
              <w:rPr>
                <w:sz w:val="28"/>
                <w:szCs w:val="28"/>
              </w:rPr>
            </w:pPr>
            <w:r>
              <w:rPr>
                <w:rFonts w:hint="eastAsia"/>
                <w:sz w:val="28"/>
                <w:szCs w:val="28"/>
              </w:rPr>
              <w:t>作者</w:t>
            </w:r>
          </w:p>
        </w:tc>
        <w:tc>
          <w:tcPr>
            <w:tcW w:w="2124" w:type="dxa"/>
            <w:vAlign w:val="center"/>
          </w:tcPr>
          <w:p>
            <w:pPr>
              <w:jc w:val="center"/>
              <w:rPr>
                <w:rFonts w:hint="eastAsia" w:eastAsiaTheme="minorEastAsia"/>
                <w:sz w:val="28"/>
                <w:szCs w:val="28"/>
                <w:lang w:eastAsia="zh-CN"/>
              </w:rPr>
            </w:pPr>
            <w:r>
              <w:rPr>
                <w:rFonts w:ascii="宋体" w:hAnsi="宋体" w:eastAsia="宋体" w:cs="宋体"/>
                <w:sz w:val="24"/>
                <w:szCs w:val="24"/>
              </w:rPr>
              <w:t>陈艳青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jc w:val="center"/>
              <w:rPr>
                <w:sz w:val="28"/>
                <w:szCs w:val="28"/>
              </w:rPr>
            </w:pPr>
          </w:p>
        </w:tc>
        <w:tc>
          <w:tcPr>
            <w:tcW w:w="1685" w:type="dxa"/>
            <w:vAlign w:val="center"/>
          </w:tcPr>
          <w:p>
            <w:pPr>
              <w:jc w:val="center"/>
              <w:rPr>
                <w:sz w:val="28"/>
                <w:szCs w:val="28"/>
              </w:rPr>
            </w:pPr>
            <w:r>
              <w:rPr>
                <w:rFonts w:hint="eastAsia"/>
                <w:sz w:val="28"/>
                <w:szCs w:val="28"/>
              </w:rPr>
              <w:t>书名</w:t>
            </w:r>
          </w:p>
        </w:tc>
        <w:tc>
          <w:tcPr>
            <w:tcW w:w="2610" w:type="dxa"/>
            <w:vAlign w:val="center"/>
          </w:tcPr>
          <w:p>
            <w:pPr>
              <w:jc w:val="both"/>
              <w:rPr>
                <w:rFonts w:hint="default" w:eastAsiaTheme="minorEastAsia"/>
                <w:sz w:val="28"/>
                <w:szCs w:val="28"/>
                <w:lang w:val="en-US" w:eastAsia="zh-CN"/>
              </w:rPr>
            </w:pPr>
            <w:r>
              <w:rPr>
                <w:rFonts w:hint="eastAsia"/>
                <w:sz w:val="28"/>
                <w:szCs w:val="28"/>
                <w:lang w:val="en-US" w:eastAsia="zh-CN"/>
              </w:rPr>
              <w:t>硕士论文</w:t>
            </w:r>
          </w:p>
        </w:tc>
        <w:tc>
          <w:tcPr>
            <w:tcW w:w="1286" w:type="dxa"/>
            <w:vAlign w:val="center"/>
          </w:tcPr>
          <w:p>
            <w:pPr>
              <w:jc w:val="center"/>
              <w:rPr>
                <w:sz w:val="28"/>
                <w:szCs w:val="28"/>
              </w:rPr>
            </w:pPr>
            <w:r>
              <w:rPr>
                <w:rFonts w:hint="eastAsia"/>
                <w:sz w:val="28"/>
                <w:szCs w:val="28"/>
              </w:rPr>
              <w:t>版别</w:t>
            </w:r>
          </w:p>
        </w:tc>
        <w:tc>
          <w:tcPr>
            <w:tcW w:w="2124" w:type="dxa"/>
            <w:vAlign w:val="center"/>
          </w:tcPr>
          <w:p>
            <w:pPr>
              <w:jc w:val="center"/>
              <w:rPr>
                <w:rFonts w:hint="eastAsia" w:eastAsiaTheme="minorEastAsia"/>
                <w:sz w:val="28"/>
                <w:szCs w:val="28"/>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jc w:val="center"/>
              <w:rPr>
                <w:sz w:val="28"/>
                <w:szCs w:val="28"/>
              </w:rPr>
            </w:pPr>
          </w:p>
        </w:tc>
        <w:tc>
          <w:tcPr>
            <w:tcW w:w="1685" w:type="dxa"/>
            <w:vAlign w:val="center"/>
          </w:tcPr>
          <w:p>
            <w:pPr>
              <w:jc w:val="center"/>
              <w:rPr>
                <w:rFonts w:hint="eastAsia" w:eastAsiaTheme="minorEastAsia"/>
                <w:sz w:val="28"/>
                <w:szCs w:val="28"/>
                <w:lang w:val="en-US" w:eastAsia="zh-CN"/>
              </w:rPr>
            </w:pPr>
            <w:r>
              <w:rPr>
                <w:rFonts w:hint="eastAsia"/>
                <w:sz w:val="28"/>
                <w:szCs w:val="28"/>
              </w:rPr>
              <w:t>报</w:t>
            </w:r>
            <w:r>
              <w:rPr>
                <w:rFonts w:hint="eastAsia"/>
                <w:sz w:val="28"/>
                <w:szCs w:val="28"/>
                <w:lang w:eastAsia="zh-CN"/>
              </w:rPr>
              <w:t>刊名</w:t>
            </w:r>
          </w:p>
        </w:tc>
        <w:tc>
          <w:tcPr>
            <w:tcW w:w="2610" w:type="dxa"/>
            <w:vAlign w:val="center"/>
          </w:tcPr>
          <w:p>
            <w:pPr>
              <w:jc w:val="both"/>
              <w:rPr>
                <w:rFonts w:hint="eastAsia" w:eastAsiaTheme="minorEastAsia"/>
                <w:sz w:val="28"/>
                <w:szCs w:val="28"/>
                <w:lang w:val="en-US" w:eastAsia="zh-CN"/>
              </w:rPr>
            </w:pPr>
            <w:r>
              <w:rPr>
                <w:rFonts w:hint="eastAsia"/>
                <w:sz w:val="28"/>
                <w:szCs w:val="28"/>
                <w:lang w:val="en-US" w:eastAsia="zh-CN"/>
              </w:rPr>
              <w:t>硕士论文</w:t>
            </w:r>
          </w:p>
        </w:tc>
        <w:tc>
          <w:tcPr>
            <w:tcW w:w="1286" w:type="dxa"/>
            <w:vAlign w:val="center"/>
          </w:tcPr>
          <w:p>
            <w:pPr>
              <w:jc w:val="center"/>
              <w:rPr>
                <w:sz w:val="28"/>
                <w:szCs w:val="28"/>
              </w:rPr>
            </w:pPr>
            <w:r>
              <w:rPr>
                <w:rFonts w:hint="eastAsia"/>
                <w:sz w:val="28"/>
                <w:szCs w:val="28"/>
              </w:rPr>
              <w:t>期次</w:t>
            </w:r>
          </w:p>
        </w:tc>
        <w:tc>
          <w:tcPr>
            <w:tcW w:w="2124" w:type="dxa"/>
            <w:vAlign w:val="center"/>
          </w:tcPr>
          <w:p>
            <w:pPr>
              <w:jc w:val="center"/>
              <w:rPr>
                <w:rFonts w:hint="default" w:eastAsiaTheme="minorEastAsia"/>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2" w:hRule="atLeast"/>
        </w:trPr>
        <w:tc>
          <w:tcPr>
            <w:tcW w:w="817" w:type="dxa"/>
            <w:vAlign w:val="center"/>
          </w:tcPr>
          <w:p>
            <w:pPr>
              <w:jc w:val="center"/>
              <w:rPr>
                <w:rFonts w:hint="eastAsia"/>
                <w:sz w:val="28"/>
                <w:szCs w:val="28"/>
              </w:rPr>
            </w:pPr>
            <w:r>
              <w:rPr>
                <w:rFonts w:hint="eastAsia"/>
                <w:sz w:val="28"/>
                <w:szCs w:val="28"/>
              </w:rPr>
              <w:t>文</w:t>
            </w:r>
          </w:p>
          <w:p>
            <w:pPr>
              <w:jc w:val="center"/>
              <w:rPr>
                <w:rFonts w:hint="eastAsia"/>
                <w:sz w:val="28"/>
                <w:szCs w:val="28"/>
              </w:rPr>
            </w:pPr>
            <w:r>
              <w:rPr>
                <w:rFonts w:hint="eastAsia"/>
                <w:sz w:val="28"/>
                <w:szCs w:val="28"/>
              </w:rPr>
              <w:t>章</w:t>
            </w:r>
          </w:p>
          <w:p>
            <w:pPr>
              <w:jc w:val="center"/>
              <w:rPr>
                <w:rFonts w:hint="eastAsia"/>
                <w:sz w:val="28"/>
                <w:szCs w:val="28"/>
              </w:rPr>
            </w:pPr>
            <w:r>
              <w:rPr>
                <w:rFonts w:hint="eastAsia"/>
                <w:sz w:val="28"/>
                <w:szCs w:val="28"/>
              </w:rPr>
              <w:t>要</w:t>
            </w:r>
          </w:p>
          <w:p>
            <w:pPr>
              <w:jc w:val="center"/>
              <w:rPr>
                <w:rFonts w:hint="eastAsia"/>
                <w:sz w:val="28"/>
                <w:szCs w:val="28"/>
              </w:rPr>
            </w:pPr>
            <w:r>
              <w:rPr>
                <w:rFonts w:hint="eastAsia"/>
                <w:sz w:val="28"/>
                <w:szCs w:val="28"/>
              </w:rPr>
              <w:t>点</w:t>
            </w:r>
          </w:p>
          <w:p>
            <w:pPr>
              <w:jc w:val="center"/>
              <w:rPr>
                <w:rFonts w:hint="eastAsia"/>
                <w:sz w:val="28"/>
                <w:szCs w:val="28"/>
              </w:rPr>
            </w:pPr>
            <w:r>
              <w:rPr>
                <w:rFonts w:hint="eastAsia"/>
                <w:sz w:val="28"/>
                <w:szCs w:val="28"/>
              </w:rPr>
              <w:t>摘</w:t>
            </w:r>
          </w:p>
          <w:p>
            <w:pPr>
              <w:jc w:val="center"/>
              <w:rPr>
                <w:sz w:val="28"/>
                <w:szCs w:val="28"/>
              </w:rPr>
            </w:pPr>
            <w:r>
              <w:rPr>
                <w:rFonts w:hint="eastAsia"/>
                <w:sz w:val="28"/>
                <w:szCs w:val="28"/>
              </w:rPr>
              <w:t>录</w:t>
            </w:r>
          </w:p>
        </w:tc>
        <w:tc>
          <w:tcPr>
            <w:tcW w:w="7705" w:type="dxa"/>
            <w:gridSpan w:val="4"/>
            <w:vAlign w:val="center"/>
          </w:tcPr>
          <w:p>
            <w:pPr>
              <w:numPr>
                <w:ilvl w:val="0"/>
                <w:numId w:val="0"/>
              </w:numPr>
              <w:spacing w:line="360" w:lineRule="auto"/>
              <w:ind w:firstLine="480" w:firstLineChars="200"/>
              <w:jc w:val="both"/>
              <w:rPr>
                <w:sz w:val="28"/>
                <w:szCs w:val="28"/>
              </w:rPr>
            </w:pPr>
            <w:r>
              <w:rPr>
                <w:rFonts w:hint="eastAsia" w:ascii="宋体" w:hAnsi="宋体" w:eastAsia="宋体" w:cs="宋体"/>
                <w:sz w:val="24"/>
                <w:szCs w:val="24"/>
              </w:rPr>
              <w:t>传统的识字教学评价是通过考试或口述笔记的方式，以能否正确书写汉字来评价学生的识字学习效果。这种纯粹的定量评价方法重视识字结果的评价,忽视了 学生在识字学习过程中的进步和发展，忽视了识字学习不可或缺的和一些不可量化的内容、识字兴趣、习惯、态度等。 教师需要时刻关注学生的成长,识字教育教学的过程中凸显汉字文化评价主</w:t>
            </w:r>
            <w:bookmarkStart w:id="0" w:name="_GoBack"/>
            <w:bookmarkEnd w:id="0"/>
            <w:r>
              <w:rPr>
                <w:rFonts w:hint="eastAsia" w:ascii="宋体" w:hAnsi="宋体" w:eastAsia="宋体" w:cs="宋体"/>
                <w:sz w:val="24"/>
                <w:szCs w:val="24"/>
              </w:rPr>
              <w:t>要可以采取以下的方法,第一:整理学生识字学习能力的成长记录袋。教师在整理 汉字记录袋的过程中,需要对学生的成长进行不断地回忆,有意识地关注到学生的 优点,避开学生的缺点,进行取长补短,了解学生是否对汉字文化教学感兴趣。第二: 课堂观察。教师可以在汉语教学的过程中,通过对学生的课堂表现,对学生完成作 业的情况进行分析,还可以通过与学生进行课后的交流与了解学生是否对汉字文 化教学感兴趣,教学方式是否有成效,继而培育学生汉字文化识字的习惯;第三:课 堂提问。教师还可以通过课堂提问的方式,就汉字起源、汉字构字规律等方面进行 提问,或者组织同学们进行小组讨论来体会与感悟汉字文化的魅力与演变;第四: 动手实践。教师可以组织同学们制作有关汉字文化知识的手抄报或者汉字文化竞 赛,帮助同学们感知传承汉字文化。此外，教师还需要有一双善于发现学生闪光点 的眼睛，善于用言语表扬或非言语性表扬的形式,对学生学习进行反馈与评价，如 肯定的眼神、书面评语等来激励学生学习，增强学生自我效能感。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5" w:hRule="atLeast"/>
        </w:trPr>
        <w:tc>
          <w:tcPr>
            <w:tcW w:w="817" w:type="dxa"/>
            <w:vAlign w:val="center"/>
          </w:tcPr>
          <w:p>
            <w:pPr>
              <w:jc w:val="center"/>
              <w:rPr>
                <w:rFonts w:hint="eastAsia"/>
                <w:sz w:val="28"/>
                <w:szCs w:val="28"/>
              </w:rPr>
            </w:pPr>
            <w:r>
              <w:rPr>
                <w:rFonts w:hint="eastAsia"/>
                <w:sz w:val="28"/>
                <w:szCs w:val="28"/>
              </w:rPr>
              <w:t>学</w:t>
            </w:r>
          </w:p>
          <w:p>
            <w:pPr>
              <w:jc w:val="center"/>
              <w:rPr>
                <w:rFonts w:hint="eastAsia"/>
                <w:sz w:val="28"/>
                <w:szCs w:val="28"/>
              </w:rPr>
            </w:pPr>
            <w:r>
              <w:rPr>
                <w:rFonts w:hint="eastAsia"/>
                <w:sz w:val="28"/>
                <w:szCs w:val="28"/>
              </w:rPr>
              <w:t>习</w:t>
            </w:r>
          </w:p>
          <w:p>
            <w:pPr>
              <w:jc w:val="center"/>
              <w:rPr>
                <w:rFonts w:hint="eastAsia"/>
                <w:sz w:val="28"/>
                <w:szCs w:val="28"/>
              </w:rPr>
            </w:pPr>
            <w:r>
              <w:rPr>
                <w:rFonts w:hint="eastAsia"/>
                <w:sz w:val="28"/>
                <w:szCs w:val="28"/>
              </w:rPr>
              <w:t>体</w:t>
            </w:r>
          </w:p>
          <w:p>
            <w:pPr>
              <w:jc w:val="center"/>
              <w:rPr>
                <w:sz w:val="28"/>
                <w:szCs w:val="28"/>
              </w:rPr>
            </w:pPr>
            <w:r>
              <w:rPr>
                <w:rFonts w:hint="eastAsia"/>
                <w:sz w:val="28"/>
                <w:szCs w:val="28"/>
              </w:rPr>
              <w:t>会</w:t>
            </w:r>
          </w:p>
        </w:tc>
        <w:tc>
          <w:tcPr>
            <w:tcW w:w="770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8"/>
                <w:szCs w:val="28"/>
                <w:lang w:val="en-US" w:eastAsia="zh-CN"/>
              </w:rPr>
            </w:pPr>
            <w:r>
              <w:rPr>
                <w:rFonts w:ascii="宋体" w:hAnsi="宋体" w:eastAsia="宋体" w:cs="宋体"/>
                <w:sz w:val="24"/>
                <w:szCs w:val="24"/>
              </w:rPr>
              <w:t>本文基于对已有的汉字文化与识字教学文献进行总结和分析的基础之上,对汉字文化融入小学语文识字教学的必要性与可行性进行了分析,以汉字本身的文化价值为基础、新课程标准为导向、学生的认知发展为基础、教材编排特点为依据,运用课堂观察法与访谈法对汉字文化融入小学低段语文识字教学的实际现状进行调查分析,通过对现状的分析,整理了现阶段汉字文化融入小学低段语文识字教学存在的现实困境,并对存在的现实困境进行了归因分析,基于以上的问题主要从树立教师汉字文化观、识字教学目标、识字教学内容的选取、识字路径实施、 识字效果评价五个方面进行汉字文化融入的优化路径的探索,对</w:t>
            </w:r>
            <w:r>
              <w:rPr>
                <w:rFonts w:hint="eastAsia" w:ascii="宋体" w:hAnsi="宋体" w:eastAsia="宋体" w:cs="宋体"/>
                <w:sz w:val="24"/>
                <w:szCs w:val="24"/>
                <w:lang w:val="en-US" w:eastAsia="zh-CN"/>
              </w:rPr>
              <w:t>我的</w:t>
            </w:r>
            <w:r>
              <w:rPr>
                <w:rFonts w:ascii="宋体" w:hAnsi="宋体" w:eastAsia="宋体" w:cs="宋体"/>
                <w:sz w:val="24"/>
                <w:szCs w:val="24"/>
              </w:rPr>
              <w:t>语文识字教学有一定的启发。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restart"/>
            <w:vAlign w:val="center"/>
          </w:tcPr>
          <w:p>
            <w:pPr>
              <w:jc w:val="center"/>
              <w:rPr>
                <w:rFonts w:hint="eastAsia"/>
                <w:sz w:val="28"/>
                <w:szCs w:val="28"/>
              </w:rPr>
            </w:pPr>
            <w:r>
              <w:rPr>
                <w:rFonts w:hint="eastAsia"/>
                <w:sz w:val="28"/>
                <w:szCs w:val="28"/>
              </w:rPr>
              <w:t>研</w:t>
            </w:r>
          </w:p>
          <w:p>
            <w:pPr>
              <w:jc w:val="center"/>
              <w:rPr>
                <w:rFonts w:hint="eastAsia"/>
                <w:sz w:val="28"/>
                <w:szCs w:val="28"/>
              </w:rPr>
            </w:pPr>
            <w:r>
              <w:rPr>
                <w:rFonts w:hint="eastAsia"/>
                <w:sz w:val="28"/>
                <w:szCs w:val="28"/>
              </w:rPr>
              <w:t>究</w:t>
            </w:r>
          </w:p>
          <w:p>
            <w:pPr>
              <w:jc w:val="center"/>
              <w:rPr>
                <w:rFonts w:hint="eastAsia"/>
                <w:sz w:val="28"/>
                <w:szCs w:val="28"/>
              </w:rPr>
            </w:pPr>
            <w:r>
              <w:rPr>
                <w:rFonts w:hint="eastAsia"/>
                <w:sz w:val="28"/>
                <w:szCs w:val="28"/>
              </w:rPr>
              <w:t>人</w:t>
            </w:r>
          </w:p>
          <w:p>
            <w:pPr>
              <w:jc w:val="center"/>
              <w:rPr>
                <w:sz w:val="28"/>
                <w:szCs w:val="28"/>
              </w:rPr>
            </w:pPr>
            <w:r>
              <w:rPr>
                <w:rFonts w:hint="eastAsia"/>
                <w:sz w:val="28"/>
                <w:szCs w:val="28"/>
              </w:rPr>
              <w:t>员</w:t>
            </w:r>
          </w:p>
        </w:tc>
        <w:tc>
          <w:tcPr>
            <w:tcW w:w="1685" w:type="dxa"/>
            <w:vAlign w:val="center"/>
          </w:tcPr>
          <w:p>
            <w:pPr>
              <w:jc w:val="center"/>
              <w:rPr>
                <w:sz w:val="28"/>
                <w:szCs w:val="28"/>
              </w:rPr>
            </w:pPr>
            <w:r>
              <w:rPr>
                <w:rFonts w:hint="eastAsia"/>
                <w:sz w:val="28"/>
                <w:szCs w:val="28"/>
              </w:rPr>
              <w:t>姓名</w:t>
            </w:r>
          </w:p>
        </w:tc>
        <w:tc>
          <w:tcPr>
            <w:tcW w:w="2610" w:type="dxa"/>
            <w:vAlign w:val="center"/>
          </w:tcPr>
          <w:p>
            <w:pPr>
              <w:jc w:val="center"/>
              <w:rPr>
                <w:rFonts w:hint="default" w:eastAsiaTheme="minorEastAsia"/>
                <w:sz w:val="28"/>
                <w:szCs w:val="28"/>
                <w:lang w:val="en-US" w:eastAsia="zh-CN"/>
              </w:rPr>
            </w:pPr>
            <w:r>
              <w:rPr>
                <w:rFonts w:hint="eastAsia"/>
                <w:sz w:val="28"/>
                <w:szCs w:val="28"/>
                <w:lang w:val="en-US" w:eastAsia="zh-CN"/>
              </w:rPr>
              <w:t>庞柳</w:t>
            </w:r>
          </w:p>
        </w:tc>
        <w:tc>
          <w:tcPr>
            <w:tcW w:w="1286" w:type="dxa"/>
            <w:vAlign w:val="center"/>
          </w:tcPr>
          <w:p>
            <w:pPr>
              <w:jc w:val="center"/>
              <w:rPr>
                <w:sz w:val="28"/>
                <w:szCs w:val="28"/>
              </w:rPr>
            </w:pPr>
            <w:r>
              <w:rPr>
                <w:rFonts w:hint="eastAsia"/>
                <w:sz w:val="28"/>
                <w:szCs w:val="28"/>
              </w:rPr>
              <w:t>学习时间</w:t>
            </w:r>
          </w:p>
        </w:tc>
        <w:tc>
          <w:tcPr>
            <w:tcW w:w="2124" w:type="dxa"/>
            <w:vAlign w:val="center"/>
          </w:tcPr>
          <w:p>
            <w:pPr>
              <w:jc w:val="center"/>
              <w:rPr>
                <w:rFonts w:hint="default" w:eastAsiaTheme="minorEastAsia"/>
                <w:sz w:val="28"/>
                <w:szCs w:val="28"/>
                <w:lang w:val="en-US" w:eastAsia="zh-CN"/>
              </w:rPr>
            </w:pPr>
            <w:r>
              <w:rPr>
                <w:rFonts w:hint="eastAsia"/>
                <w:sz w:val="28"/>
                <w:szCs w:val="28"/>
                <w:lang w:val="en-US" w:eastAsia="zh-CN"/>
              </w:rPr>
              <w:t>2023年6月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Merge w:val="continue"/>
            <w:vAlign w:val="center"/>
          </w:tcPr>
          <w:p>
            <w:pPr>
              <w:jc w:val="center"/>
              <w:rPr>
                <w:sz w:val="28"/>
                <w:szCs w:val="28"/>
              </w:rPr>
            </w:pPr>
          </w:p>
        </w:tc>
        <w:tc>
          <w:tcPr>
            <w:tcW w:w="1685" w:type="dxa"/>
            <w:vAlign w:val="center"/>
          </w:tcPr>
          <w:p>
            <w:pPr>
              <w:jc w:val="center"/>
              <w:rPr>
                <w:rFonts w:hint="eastAsia" w:eastAsiaTheme="minorEastAsia"/>
                <w:sz w:val="28"/>
                <w:szCs w:val="28"/>
                <w:lang w:eastAsia="zh-CN"/>
              </w:rPr>
            </w:pPr>
            <w:r>
              <w:rPr>
                <w:rFonts w:hint="eastAsia"/>
                <w:sz w:val="28"/>
                <w:szCs w:val="28"/>
              </w:rPr>
              <w:t>课题</w:t>
            </w:r>
            <w:r>
              <w:rPr>
                <w:rFonts w:hint="eastAsia"/>
                <w:sz w:val="28"/>
                <w:szCs w:val="28"/>
                <w:lang w:eastAsia="zh-CN"/>
              </w:rPr>
              <w:t>名称</w:t>
            </w:r>
          </w:p>
        </w:tc>
        <w:tc>
          <w:tcPr>
            <w:tcW w:w="6020" w:type="dxa"/>
            <w:gridSpan w:val="3"/>
            <w:vAlign w:val="center"/>
          </w:tcPr>
          <w:p>
            <w:pPr>
              <w:jc w:val="center"/>
              <w:rPr>
                <w:sz w:val="28"/>
                <w:szCs w:val="28"/>
              </w:rPr>
            </w:pPr>
            <w:r>
              <w:rPr>
                <w:rFonts w:hint="eastAsia"/>
                <w:sz w:val="28"/>
                <w:szCs w:val="28"/>
                <w:lang w:eastAsia="zh-CN"/>
              </w:rPr>
              <w:t>《</w:t>
            </w:r>
            <w:r>
              <w:rPr>
                <w:rFonts w:hint="eastAsia"/>
                <w:sz w:val="28"/>
                <w:szCs w:val="28"/>
                <w:lang w:val="en-US" w:eastAsia="zh-CN"/>
              </w:rPr>
              <w:t>小学低年级语文识写“梯度教学”的实践研究</w:t>
            </w:r>
            <w:r>
              <w:rPr>
                <w:rFonts w:hint="eastAsia"/>
                <w:sz w:val="28"/>
                <w:szCs w:val="28"/>
                <w:lang w:eastAsia="zh-CN"/>
              </w:rPr>
              <w:t>》</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ZTAyMDc0MDA1YjczODQ4NDk3NzA2OWIwNzZhNDgifQ=="/>
  </w:docVars>
  <w:rsids>
    <w:rsidRoot w:val="00B94856"/>
    <w:rsid w:val="001F628C"/>
    <w:rsid w:val="005B04D8"/>
    <w:rsid w:val="00B06487"/>
    <w:rsid w:val="00B94856"/>
    <w:rsid w:val="00F37E04"/>
    <w:rsid w:val="04821E9A"/>
    <w:rsid w:val="049F343C"/>
    <w:rsid w:val="0E951428"/>
    <w:rsid w:val="1AA4220B"/>
    <w:rsid w:val="1C1A4A13"/>
    <w:rsid w:val="1FE551D6"/>
    <w:rsid w:val="386E3E1F"/>
    <w:rsid w:val="6405742B"/>
    <w:rsid w:val="75E04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Win7</Company>
  <Pages>1</Pages>
  <Words>17</Words>
  <Characters>103</Characters>
  <Lines>1</Lines>
  <Paragraphs>1</Paragraphs>
  <TotalTime>32</TotalTime>
  <ScaleCrop>false</ScaleCrop>
  <LinksUpToDate>false</LinksUpToDate>
  <CharactersWithSpaces>119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2021-03-23T00:55:00Z</dcterms:created>
  <dc:creator>Win7</dc:creator>
  <cp:lastModifiedBy>陌陌麻麻</cp:lastModifiedBy>
  <dcterms:modified xsi:type="dcterms:W3CDTF">2023-10-26T13:04:23Z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674D2BFAD37B4F8FB00290FA2D4FF93D_13</vt:lpwstr>
  </property>
</Properties>
</file>