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none" w:color="auto" w:sz="0" w:space="0"/>
        </w:pBdr>
        <w:snapToGrid/>
        <w:spacing w:line="240" w:lineRule="auto"/>
        <w:jc w:val="left"/>
        <w:rPr>
          <w:sz w:val="36"/>
        </w:rPr>
      </w:pPr>
      <w:r>
        <w:rPr>
          <w:sz w:val="36"/>
        </w:rPr>
        <w:t xml:space="preserve">  </w:t>
      </w:r>
      <w:r>
        <w:rPr>
          <w:rFonts w:hint="eastAsia"/>
          <w:sz w:val="36"/>
          <w:lang w:val="en-US" w:eastAsia="zh-CN"/>
        </w:rPr>
        <w:t xml:space="preserve">    </w:t>
      </w:r>
      <w:r>
        <w:rPr>
          <w:sz w:val="36"/>
        </w:rPr>
        <w:t>虹景小学2023学年第一学期第八周工作安排</w:t>
      </w:r>
    </w:p>
    <w:tbl>
      <w:tblPr>
        <w:tblStyle w:val="5"/>
        <w:tblW w:w="9713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870"/>
        <w:gridCol w:w="2385"/>
        <w:gridCol w:w="1560"/>
        <w:gridCol w:w="1590"/>
        <w:gridCol w:w="1020"/>
        <w:gridCol w:w="997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参加对象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微推/简讯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星期一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10月23日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9：00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升旗仪式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全体师生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大操场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吴冕</w:t>
            </w: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星期二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10月24日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全天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体检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视力筛查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全体师生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综合楼及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体育馆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王文娟</w:t>
            </w: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12:20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虹景“子午书简”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全体师生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班教室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谢红英</w:t>
            </w: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14:00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2024年政府采购预算编制培训会议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财务人员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24中天宁分校报告厅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丁健</w:t>
            </w: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14:30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省监测点校会议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体育教研组长、保健老师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北郊高中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陈松林</w:t>
            </w: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星期三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10月25日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8：30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小学音乐：博爱联校、局小联校联席教研活动（学历案的设计与应用）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全体音乐专职教师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清凉小学（清蕴楼二楼器乐教室）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赵宁波</w:t>
            </w: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9：20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班队、思政联合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教研活动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班主任老师思政课老师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教科研中心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吴冕</w:t>
            </w: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  <w:t>微推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12：15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  <w:t>教师会议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  <w:t>全体教师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  <w:t>报告厅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  <w:t>裴瑞英</w:t>
            </w: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14:40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团支部换届选举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全体团员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会议室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高卫超</w:t>
            </w: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ind w:firstLine="240" w:firstLineChars="10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  <w:t>简讯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15:30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退休教师欢送会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相关教师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大会议室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顾珂</w:t>
            </w: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简讯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星期四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10月26日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8:20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综合实践活动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全体师生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中华恐龙园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丁健</w:t>
            </w: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微推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8：10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区小学美术青年教师练兵课暨王晓杰名师工作室活动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相关教师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郑陆实验学校（博艺楼三楼录课室）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滑山荣</w:t>
            </w: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9：30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常州市小学英语语言知识精准教学研讨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学科责任人教研组长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华润小学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黄蕾</w:t>
            </w: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星期五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10月27日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13:00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天宁区小学英语镇区学校联校教研暨校本教研展示活动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相关教师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焦溪小学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黄蕾</w:t>
            </w: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8:20-13:40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常州市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小学劳动基本功比赛（决赛）暨培训活动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相关教师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虹景小学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高卫超</w:t>
            </w: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13：30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常州市小学综合实践活动区域展示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综合实践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骨干教师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武进区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夏溪小学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高卫超</w:t>
            </w: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教师发展部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numPr>
                <w:ilvl w:val="0"/>
                <w:numId w:val="1"/>
              </w:num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认真做好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省基础教育监测中心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10月31日组织开展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义务教育学生学业质量监测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各项准备工作</w:t>
            </w:r>
          </w:p>
          <w:p>
            <w:pPr>
              <w:numPr>
                <w:ilvl w:val="0"/>
                <w:numId w:val="0"/>
              </w:num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2.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认真做好周五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常州市基教处组织开展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中小学教学管理督查活动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准备工作</w:t>
            </w:r>
          </w:p>
          <w:p>
            <w:p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课程研发部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：完成常州市教学成果培育项目申报工作</w:t>
            </w:r>
          </w:p>
          <w:p>
            <w:p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学生发展部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numPr>
                <w:ilvl w:val="0"/>
                <w:numId w:val="2"/>
              </w:num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做好新时代天宁好少年评选及材料准备工作</w:t>
            </w:r>
          </w:p>
          <w:p>
            <w:pPr>
              <w:numPr>
                <w:ilvl w:val="0"/>
                <w:numId w:val="2"/>
              </w:num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做好天宁区优秀（十佳）少先队员、优秀（十佳）少先队辅导员推选工作</w:t>
            </w:r>
          </w:p>
          <w:p>
            <w:pPr>
              <w:numPr>
                <w:ilvl w:val="0"/>
                <w:numId w:val="2"/>
              </w:num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进一步加强学生文明礼仪、班级卫生督查</w:t>
            </w:r>
          </w:p>
          <w:p>
            <w:pPr>
              <w:numPr>
                <w:ilvl w:val="0"/>
                <w:numId w:val="0"/>
              </w:num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后勤保障部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numPr>
                <w:ilvl w:val="0"/>
                <w:numId w:val="3"/>
              </w:num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组织全体师生参加综合实践活动</w:t>
            </w:r>
          </w:p>
          <w:p>
            <w:pPr>
              <w:numPr>
                <w:ilvl w:val="0"/>
                <w:numId w:val="0"/>
              </w:num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2.配合各部门完成常规工作</w:t>
            </w:r>
          </w:p>
          <w:p>
            <w:p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人力资源部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numPr>
                <w:ilvl w:val="0"/>
                <w:numId w:val="4"/>
              </w:num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完成教师资格注册的互审工作</w:t>
            </w:r>
          </w:p>
          <w:p>
            <w:pPr>
              <w:numPr>
                <w:ilvl w:val="0"/>
                <w:numId w:val="4"/>
              </w:numPr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完成职评教师的材料审核工作</w:t>
            </w:r>
          </w:p>
          <w:p>
            <w:pPr>
              <w:numPr>
                <w:ilvl w:val="0"/>
                <w:numId w:val="4"/>
              </w:numPr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完成事业单位等级信用评价工作</w:t>
            </w:r>
          </w:p>
          <w:p>
            <w:pPr>
              <w:numPr>
                <w:ilvl w:val="0"/>
                <w:numId w:val="0"/>
              </w:numPr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>备注：本周五市基教处组织开展常州市中小学教学管理督查百校行活动，请全体教师进一步规范教育教学行为，做好迎检工作</w:t>
            </w: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napToGrid/>
        <w:spacing w:line="240" w:lineRule="auto"/>
      </w:pPr>
    </w:p>
    <w:sectPr>
      <w:pgSz w:w="11905" w:h="16838"/>
      <w:pgMar w:top="1361" w:right="1417" w:bottom="1361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41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1B3357"/>
    <w:multiLevelType w:val="singleLevel"/>
    <w:tmpl w:val="AC1B33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6976ED"/>
    <w:multiLevelType w:val="singleLevel"/>
    <w:tmpl w:val="026976E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71EABB2"/>
    <w:multiLevelType w:val="singleLevel"/>
    <w:tmpl w:val="171EAB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A87E764"/>
    <w:multiLevelType w:val="singleLevel"/>
    <w:tmpl w:val="5A87E7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mMDU4OGVhZWEwNjhhNDE5ZDEwZmM4YWQ3YTQyMjUifQ=="/>
  </w:docVars>
  <w:rsids>
    <w:rsidRoot w:val="00000000"/>
    <w:rsid w:val="2DD809F4"/>
    <w:rsid w:val="4F4947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240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5">
    <w:name w:val="Table Grid"/>
    <w:basedOn w:val="4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melo-codeblock-Base-theme-char"/>
    <w:uiPriority w:val="0"/>
    <w:rPr>
      <w:rFonts w:ascii="Monaco" w:hAnsi="Monaco" w:eastAsia="Monaco" w:cs="Monaco"/>
      <w:color w:val="000000"/>
      <w:sz w:val="21"/>
    </w:rPr>
  </w:style>
  <w:style w:type="paragraph" w:customStyle="1" w:styleId="9">
    <w:name w:val="melo-codeblock-Base-theme-para"/>
    <w:basedOn w:val="1"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2023-10-23T07:50:00Z</dcterms:created>
  <dc:creator>Administrator</dc:creator>
  <cp:lastModifiedBy>Administrator</cp:lastModifiedBy>
  <cp:lastPrinted>2023-10-23T00:09:00Z</cp:lastPrinted>
  <dcterms:modified xsi:type="dcterms:W3CDTF">2023-10-23T01:28:44Z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A848EAFFF04946199387A05D9CD49395_12</vt:lpwstr>
  </property>
</Properties>
</file>