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4"/>
          <w:szCs w:val="24"/>
        </w:rPr>
      </w:pPr>
      <w:r>
        <w:rPr>
          <w:rFonts w:hint="eastAsia" w:ascii="黑体" w:hAnsi="黑体" w:eastAsia="黑体"/>
          <w:b/>
          <w:sz w:val="24"/>
          <w:szCs w:val="24"/>
        </w:rPr>
        <w:t>《</w:t>
      </w:r>
      <w:r>
        <w:rPr>
          <w:rFonts w:hint="eastAsia" w:ascii="黑体" w:hAnsi="黑体" w:eastAsia="黑体"/>
          <w:b/>
          <w:sz w:val="32"/>
          <w:szCs w:val="32"/>
        </w:rPr>
        <w:t>“学、练、赛、评”模式在校园足球中的运用研究</w:t>
      </w:r>
      <w:r>
        <w:rPr>
          <w:rFonts w:hint="eastAsia" w:ascii="黑体" w:hAnsi="黑体" w:eastAsia="黑体"/>
          <w:b/>
          <w:sz w:val="24"/>
          <w:szCs w:val="24"/>
        </w:rPr>
        <w:t>》</w:t>
      </w:r>
    </w:p>
    <w:p>
      <w:pPr>
        <w:jc w:val="center"/>
        <w:rPr>
          <w:rFonts w:ascii="黑体" w:hAnsi="黑体" w:eastAsia="黑体"/>
          <w:b/>
          <w:sz w:val="36"/>
          <w:szCs w:val="36"/>
        </w:rPr>
      </w:pPr>
      <w:bookmarkStart w:id="0" w:name="_GoBack"/>
      <w:bookmarkEnd w:id="0"/>
      <w:r>
        <w:rPr>
          <w:rFonts w:hint="eastAsia" w:ascii="黑体" w:hAnsi="黑体" w:eastAsia="黑体"/>
          <w:b/>
          <w:sz w:val="36"/>
          <w:szCs w:val="36"/>
        </w:rPr>
        <w:t>学习札记</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8"/>
                <w:szCs w:val="28"/>
                <w:lang w:val="en-US" w:eastAsia="zh-CN"/>
              </w:rPr>
              <w:t>俞龙</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《知网》</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8522" w:type="dxa"/>
            <w:gridSpan w:val="6"/>
          </w:tcPr>
          <w:p>
            <w:pPr>
              <w:ind w:firstLine="413"/>
              <w:rPr>
                <w:rFonts w:hint="eastAsia"/>
                <w:b/>
                <w:sz w:val="24"/>
              </w:rPr>
            </w:pPr>
            <w:r>
              <w:rPr>
                <w:rFonts w:hint="eastAsia"/>
                <w:b/>
                <w:sz w:val="24"/>
              </w:rPr>
              <w:t>学习内容：</w:t>
            </w:r>
            <w:r>
              <w:rPr>
                <w:b/>
                <w:sz w:val="24"/>
              </w:rPr>
              <w:t xml:space="preserve"> </w:t>
            </w:r>
            <w:r>
              <w:rPr>
                <w:rFonts w:hint="eastAsia"/>
                <w:b/>
                <w:sz w:val="24"/>
              </w:rPr>
              <w:t>新时代我国校园足球改革发展研究</w:t>
            </w:r>
          </w:p>
          <w:p>
            <w:pPr>
              <w:ind w:firstLine="413"/>
              <w:rPr>
                <w:rFonts w:hint="eastAsia"/>
                <w:b/>
                <w:sz w:val="24"/>
              </w:rPr>
            </w:pPr>
            <w:r>
              <w:rPr>
                <w:rFonts w:hint="eastAsia"/>
                <w:b/>
                <w:sz w:val="24"/>
              </w:rPr>
              <w:t xml:space="preserve">  一一基于全国校园足球特色学校的调查分析</w:t>
            </w:r>
          </w:p>
          <w:p>
            <w:pPr>
              <w:ind w:firstLine="413"/>
              <w:rPr>
                <w:rFonts w:hint="eastAsia" w:eastAsia="宋体"/>
                <w:sz w:val="24"/>
                <w:lang w:eastAsia="zh-CN"/>
              </w:rPr>
            </w:pPr>
            <w:r>
              <w:rPr>
                <w:rFonts w:hint="eastAsia"/>
                <w:b/>
                <w:sz w:val="24"/>
              </w:rPr>
              <w:t xml:space="preserve">    管理体系有待健全    </w:t>
            </w:r>
            <w:r>
              <w:rPr>
                <w:rFonts w:hint="eastAsia" w:ascii="宋体" w:hAnsi="宋体" w:eastAsia="宋体" w:cs="宋体"/>
                <w:b w:val="0"/>
                <w:bCs/>
                <w:sz w:val="24"/>
              </w:rPr>
              <w:t>利用常态化督导来加大质量管理力度并推动足球特色高质量发展，与校园足球改革发展的任务要求和发展规模相适应，也是足球特色力量在教育督导体制机制改革领域的充分体现。我国已依托教育行政系统建立由教育部、省级与市县级教育行政部门组成的校园足球管理体系，但自上而下仍存在有待健全的问题，具体表现在三方面:一是，顶层管理力度不足。校园足球顶层管理工作主要参照《全国青少年校园足球特色学校创建指标体系》(以下简称《创建指标体系》)、《全国青少年校园足球特色学校复核指标体系》等标准文件，以质量复核为主要手段，以通知文件下发的形式组织实施，要求实现复核工作制度化、规范化。调研表明，全国范围内的校园足球特色学校复核工作仅在一年度和一年度开展过两轮，复核频率和覆盖面均显不足。二是，中层管理重视有限。在顶层管理制度落实不到位的情况下，作为校园足球管理工作实施主体的地方教育行政部门可能会怠于履行管理职责。调研表明，各地方尚未出台具体的督导评价办法，致使各地区校园足球开展的质量和效果差异较大。三是，基层管理普遍缺失。鉴于国家和地方教育行政部门的管理压力较小，基层校园足球特色学校极易忽略自我管理。调研数据显示，仅有的学校建立了校内检查督导制度。根据循环理论，一个完整的学校管理系统通常被划分为“计划一执行一检查一处理”四部分，检查环节的缺失降低了学校自我改进的可能性。总体而言，自上而下逐级减轻的管理压力阻碍了管理体系的健全运行，校园足球改革发展所肩负的管理使命可能会陷人形式化的困境。    基础保障力度不足    充足的基础保障是校园足球改革发展的基本前提，也是发挥校园足球特色学校典型示范作用的重要保障，对优化资源配置并健全青少年体育保障体系具有重要参考价值，但现阶段的基础保障力度仍旧不足，具体表现在三方面。一是，师资数量不足与质量不佳。受到校园足球特色学校布局规模不断扩大的影响，足球专项教师资源问题愈加凸显。调研数据显示，校园足球特色学校中拥有足球专项教师的学校占比，仍有部分学校无法达到《创建指标体系》的基本要求。此外，体育院校在人才培养环节中存在偏重运动技能学习的问题，致使较多未来的足球专项教师专注于技能训练而忽视教育综合素质的提高。二是，经费有限且来源单一。根据事权划分的原则，中央财政无法在经费上扶持校园足球特色学校，使部分特色学校在开展校园足球过程中经费不足调研数据显示，年和年校园足球特色学校的校均经费投人达万元和万元，但仍有的校园足球特色学校至今未设置专项经费。而且，由于我国校园足球特色学校的遴选和建设工作都在教育行政系统内进行，学校对于政府部门的拨付经费依赖性较高，怠于探索多元化的经费筹措方式。三是，场地使用面积受限。受制于校园面积有限、上级审批困难、场地建设资金不足等因素的影响，大部分校园足球特色学校仅能保证有场地，真正能够在场地数量和面积上充分满足全体学生需要的学校极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3"/>
              <w:spacing w:before="150" w:beforeAutospacing="0" w:after="0" w:afterAutospacing="0" w:line="360" w:lineRule="auto"/>
              <w:rPr>
                <w:rFonts w:hint="eastAsia" w:eastAsia="宋体"/>
                <w:b w:val="0"/>
                <w:bCs w:val="0"/>
                <w:sz w:val="28"/>
                <w:szCs w:val="28"/>
                <w:lang w:eastAsia="zh-CN"/>
              </w:rPr>
            </w:pPr>
            <w:r>
              <w:rPr>
                <w:rFonts w:hint="eastAsia"/>
                <w:b/>
                <w:sz w:val="28"/>
                <w:szCs w:val="28"/>
              </w:rPr>
              <w:t>学习心得：</w:t>
            </w:r>
            <w:r>
              <w:rPr>
                <w:rFonts w:hint="eastAsia"/>
                <w:b w:val="0"/>
                <w:bCs/>
                <w:sz w:val="28"/>
                <w:szCs w:val="28"/>
              </w:rPr>
              <w:t>新时代校园足球改革发展有责任和义务承担起系列重要使命，虽然仍存在整体促进、管理体系、基础保障、教训赛开展、文化挖掘等方面的现实问题，但在党和国家高度重视和支持的时代背景下，校园足球改革发展必然会率先突破“体育局限”，持续探索“特色教育”出路，进而为我国体育和教育改革发展目标的实现贡献校园足球力量。</w:t>
            </w:r>
          </w:p>
        </w:tc>
      </w:tr>
    </w:tbl>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QwMzUyOTQ0YTg3YzZmMjIzZTAzMzZmOTE1ZjgifQ=="/>
  </w:docVars>
  <w:rsids>
    <w:rsidRoot w:val="00000000"/>
    <w:rsid w:val="3FE220CA"/>
    <w:rsid w:val="487F3592"/>
    <w:rsid w:val="50E23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Words>
  <Characters>63</Characters>
  <Lines>0</Lines>
  <Paragraphs>0</Paragraphs>
  <TotalTime>0</TotalTime>
  <ScaleCrop>false</ScaleCrop>
  <LinksUpToDate>false</LinksUpToDate>
  <CharactersWithSpaces>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2023-08-24T11:47:00Z</dcterms:created>
  <dc:creator>Administrator</dc:creator>
  <cp:lastModifiedBy>SO. YONG.</cp:lastModifiedBy>
  <dcterms:modified xsi:type="dcterms:W3CDTF">2023-10-17T00:14:28Z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BC357F0EE22D4CA2B008B72C4EDD161C_12</vt:lpwstr>
  </property>
</Properties>
</file>