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4"/>
          <w:szCs w:val="24"/>
        </w:rPr>
      </w:pPr>
      <w:r>
        <w:rPr>
          <w:rFonts w:hint="eastAsia" w:ascii="黑体" w:hAnsi="黑体" w:eastAsia="黑体"/>
          <w:b/>
          <w:sz w:val="24"/>
          <w:szCs w:val="24"/>
        </w:rPr>
        <w:t>《</w:t>
      </w:r>
      <w:r>
        <w:rPr>
          <w:rFonts w:hint="eastAsia" w:ascii="黑体" w:hAnsi="黑体" w:eastAsia="黑体"/>
          <w:b/>
          <w:sz w:val="32"/>
          <w:szCs w:val="32"/>
        </w:rPr>
        <w:t>“学、练、赛、评”模式在校园足球中的运用研究</w:t>
      </w:r>
      <w:r>
        <w:rPr>
          <w:rFonts w:hint="eastAsia" w:ascii="黑体" w:hAnsi="黑体" w:eastAsia="黑体"/>
          <w:b/>
          <w:sz w:val="24"/>
          <w:szCs w:val="24"/>
        </w:rPr>
        <w:t>》</w:t>
      </w:r>
    </w:p>
    <w:p>
      <w:pPr>
        <w:jc w:val="center"/>
        <w:rPr>
          <w:rFonts w:ascii="黑体" w:hAnsi="黑体" w:eastAsia="黑体"/>
          <w:b/>
          <w:sz w:val="36"/>
          <w:szCs w:val="36"/>
        </w:rPr>
      </w:pPr>
      <w:r>
        <w:rPr>
          <w:rFonts w:hint="eastAsia" w:ascii="黑体" w:hAnsi="黑体" w:eastAsia="黑体"/>
          <w:b/>
          <w:sz w:val="36"/>
          <w:szCs w:val="36"/>
        </w:rPr>
        <w:t>学习札记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50"/>
        <w:gridCol w:w="1559"/>
        <w:gridCol w:w="2127"/>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101" w:type="dxa"/>
            <w:vAlign w:val="center"/>
          </w:tcPr>
          <w:p>
            <w:pPr>
              <w:rPr>
                <w:b/>
                <w:sz w:val="28"/>
                <w:szCs w:val="28"/>
              </w:rPr>
            </w:pPr>
            <w:r>
              <w:rPr>
                <w:rFonts w:hint="eastAsia"/>
                <w:b/>
                <w:sz w:val="28"/>
                <w:szCs w:val="28"/>
              </w:rPr>
              <w:t>学习人</w:t>
            </w:r>
          </w:p>
        </w:tc>
        <w:tc>
          <w:tcPr>
            <w:tcW w:w="850" w:type="dxa"/>
            <w:vAlign w:val="center"/>
          </w:tcPr>
          <w:p>
            <w:pPr>
              <w:rPr>
                <w:rFonts w:hint="eastAsia" w:eastAsia="宋体"/>
                <w:sz w:val="28"/>
                <w:szCs w:val="28"/>
                <w:lang w:eastAsia="zh-CN"/>
              </w:rPr>
            </w:pPr>
            <w:r>
              <w:rPr>
                <w:rFonts w:hint="eastAsia"/>
                <w:sz w:val="28"/>
                <w:szCs w:val="28"/>
                <w:lang w:eastAsia="zh-CN"/>
              </w:rPr>
              <w:t>侯宁</w:t>
            </w:r>
          </w:p>
        </w:tc>
        <w:tc>
          <w:tcPr>
            <w:tcW w:w="1559" w:type="dxa"/>
            <w:vAlign w:val="center"/>
          </w:tcPr>
          <w:p>
            <w:pPr>
              <w:rPr>
                <w:b/>
                <w:sz w:val="28"/>
                <w:szCs w:val="28"/>
              </w:rPr>
            </w:pPr>
            <w:r>
              <w:rPr>
                <w:rFonts w:hint="eastAsia"/>
                <w:b/>
                <w:sz w:val="28"/>
                <w:szCs w:val="28"/>
              </w:rPr>
              <w:t>摘录来源</w:t>
            </w:r>
          </w:p>
        </w:tc>
        <w:tc>
          <w:tcPr>
            <w:tcW w:w="2127" w:type="dxa"/>
            <w:vAlign w:val="center"/>
          </w:tcPr>
          <w:p>
            <w:pPr>
              <w:rPr>
                <w:rFonts w:hint="eastAsia" w:eastAsia="宋体"/>
                <w:sz w:val="24"/>
                <w:lang w:eastAsia="zh-CN"/>
              </w:rPr>
            </w:pPr>
            <w:r>
              <w:rPr>
                <w:rFonts w:hint="eastAsia"/>
                <w:sz w:val="24"/>
                <w:lang w:eastAsia="zh-CN"/>
              </w:rPr>
              <w:t>《知网》</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sz w:val="28"/>
                <w:szCs w:val="28"/>
                <w:lang w:val="en-US" w:eastAsia="zh-CN"/>
              </w:rPr>
              <w:t>2023.3</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sz w:val="24"/>
                <w:lang w:eastAsia="zh-CN"/>
              </w:rPr>
            </w:pPr>
            <w:r>
              <w:rPr>
                <w:rFonts w:hint="eastAsia"/>
                <w:sz w:val="24"/>
                <w:lang w:eastAsia="zh-CN"/>
              </w:rPr>
              <w:t>《</w:t>
            </w:r>
            <w:r>
              <w:rPr>
                <w:rFonts w:hint="eastAsia"/>
                <w:sz w:val="24"/>
              </w:rPr>
              <w:t>社会生态理论视角下校园足球发展路径研究</w:t>
            </w:r>
            <w:r>
              <w:rPr>
                <w:rFonts w:hint="eastAsia"/>
                <w:sz w:val="24"/>
                <w:lang w:eastAsia="zh-CN"/>
              </w:rPr>
              <w:t>》</w:t>
            </w:r>
          </w:p>
          <w:p>
            <w:pPr>
              <w:ind w:firstLine="480" w:firstLineChars="200"/>
              <w:rPr>
                <w:rFonts w:hint="eastAsia"/>
                <w:sz w:val="24"/>
              </w:rPr>
            </w:pPr>
            <w:r>
              <w:rPr>
                <w:rFonts w:hint="eastAsia"/>
                <w:sz w:val="24"/>
              </w:rPr>
              <w:t>研究目的:大力发展青少年校园足球作为国家教育、体育发展战略的组成部分，可以全面推动足球的普及与提高,可以促进足球强国梦的早日实现,可以以足球作为突破口加快推动学校体育的改革。发展校园足球的目的是通过提高学生个体足球技术及德智体美劳综合素质,进而储备足球后备人才,推动足球事业的繁荣强大,实现足球强国梦。因此,校园足球的发展离不开学生个体的积极主动参与,更离不开外界环境的支持配合。本文从社会生态理论视角出发,运用社会生态理论的个体微观系统嵌套于相互影响的一系列环境宏观系统,来解释不同因素相互作用推动校园足球的发展，制定校园足球发展路径,为促进校园足球积极有效的发展提供理论和实践指导。研究方法:主要采用文献资料法,通过中国知网等网络资源，以社会生态理论”校园足球”发展路径”为关键词进行搜索,共筛选相关核心期刊论文150余篇。对检索文献进行整理、分析,为本研究提供了重要的理论支撑。研究结果:(1)校园足球发展的微系统:学生作为校园足球发展中的个体,学生对足球的喜爱程度不仅由自身主观能动性决定,而且受到身边人和环境的影响。校园足球作为体育文化体系的组成部分,开展的主要内容包括校园足球教学、课外足球训练和竞赛、校园足球文化宣传。良好的校园足球活动氛围能够促进学生体育有效发展,同时促进学生德育、智育、美育、劳动综合发展。这种积极有效的足球氛围,离不开与学生个体直接接触的微环境:父母、校长、教师、同伴。因此,校长的引领、教师的指导、父母同伴的支持、学生的主体参与共同构成了校园足球发展的微系统。(2) 校园足球发展的中系统:校园足球科学有效的发展,需要以学校为主要阵地的科学部署,需要以家庭为主力军的支持合作,更需要社区足球多渠道的协同配合。家校、家社、校社三个群体交流互动、互助合作,三网合- ,提高交互功能,促进校园足球稳步发展。学校、家庭、社区三个微系统共同构成了校园足球发展的中系统。(3) 校园足球发展的外系统:校园足球发展中系统里的学校、家庭、社区分别依附的环境是教育系统、社会系统、社区系统。教育部门的安全管理保障是校园足球教师主动教学生主动学的动力机制,社会大众层面的认可和支持是发展校园足球的重要的资金来源，社区功能细化是校园足球发展的重要外部力量。教育部门的安全管理保障、社会大众的认可支持、社区功能的细化共同构成校园足球发展的外系统。(4)校园 足球发展的宏系统:校园足球发展的价值和存在于校园足球微中外三系统的文化,以及国家颁布的校园足球相关政策,共同构成了校园足球发展的宏观系统。研究结论: (1)创建校园足球良好内循环发展生态:根据校园足球活动开展的主要实践构成要素,为促进校园足球有效的发展,创建校园足球良好的内循环发展生态,构建保障校园足球发展的微系统。以校</w:t>
            </w:r>
          </w:p>
          <w:p>
            <w:pPr>
              <w:rPr>
                <w:rFonts w:hint="eastAsia"/>
                <w:sz w:val="24"/>
              </w:rPr>
            </w:pPr>
            <w:r>
              <w:rPr>
                <w:rFonts w:hint="eastAsia"/>
                <w:sz w:val="24"/>
              </w:rPr>
              <w:t>长为引领,确保校园足球良好内循环发展生态的物质保障;以教师为指导,建好校园足球良好内循环发展生态的基础;以父母同伴为支持、以学生为主体,增强校园足球良好内循环发展生态的动力。(2)创新校园足球家庭、学校、社区三网合一发展模式:创新校园足球家庭、学校、社区三网合一发展模式,构建保障校园足球有效发展的中系统,形成你中有我,我中有你的相互关系。加强家校交互合作,提高学生参与动力;加强家社交互合作,优化成长渠道:加强校社交互合作,完善训练和竞赛,化解学训冲突。(3) 创新校园足球三级联动发展制度:创新校园足球三级联动发展制度,构建保障校园足球有效发展的宏系统。创新政府、社会企业多渠道资金来源，为校园足球发展提供新动力;完善校园足球教育管理、保障体系,为校园足球发展确立新保障;细化社区足球协同功能,为校园足球发展添加新活力。(4)创新优化校园足球发展理念:创新优化校园足球发展理念,构建保障校园足球有效发展的宏系统。运用媒体融合发展模式，加强校园足球教育价值和强国价值的再认识;树立校园足球文化自信,大力宣传校园足球文化:强化校园足球政策导向,完善政策制度，提高校园足球政策执行效率。</w:t>
            </w:r>
          </w:p>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6"/>
              <w:spacing w:before="150" w:beforeAutospacing="0" w:after="0" w:afterAutospacing="0" w:line="360" w:lineRule="auto"/>
              <w:rPr>
                <w:rFonts w:hint="eastAsia"/>
                <w:b/>
                <w:sz w:val="28"/>
                <w:szCs w:val="28"/>
              </w:rPr>
            </w:pPr>
            <w:r>
              <w:rPr>
                <w:rFonts w:hint="eastAsia"/>
                <w:b/>
                <w:sz w:val="28"/>
                <w:szCs w:val="28"/>
              </w:rPr>
              <w:t>学习心得：</w:t>
            </w:r>
          </w:p>
          <w:p>
            <w:pPr>
              <w:pStyle w:val="6"/>
              <w:spacing w:before="150" w:beforeAutospacing="0" w:after="0" w:afterAutospacing="0" w:line="360" w:lineRule="auto"/>
              <w:rPr>
                <w:rFonts w:hint="eastAsia" w:eastAsia="宋体"/>
                <w:b w:val="0"/>
                <w:bCs/>
                <w:sz w:val="24"/>
                <w:szCs w:val="24"/>
                <w:lang w:val="en-US" w:eastAsia="zh-CN"/>
              </w:rPr>
            </w:pPr>
            <w:r>
              <w:rPr>
                <w:rFonts w:hint="eastAsia"/>
                <w:b/>
                <w:sz w:val="28"/>
                <w:szCs w:val="28"/>
                <w:lang w:val="en-US" w:eastAsia="zh-CN"/>
              </w:rPr>
              <w:t xml:space="preserve">  </w:t>
            </w:r>
            <w:r>
              <w:rPr>
                <w:rFonts w:hint="eastAsia"/>
                <w:b w:val="0"/>
                <w:bCs/>
                <w:sz w:val="28"/>
                <w:szCs w:val="28"/>
                <w:lang w:val="en-US" w:eastAsia="zh-CN"/>
              </w:rPr>
              <w:t>提升全民对于足球的热情不能仅仅依靠政府的推广，更重要的是在每一个青少年的心中种下一颗名为“足球”的种子，通过在校园中的学习感受到足球的魅力从而真心爱上足球。</w:t>
            </w:r>
          </w:p>
          <w:p>
            <w:pPr>
              <w:pStyle w:val="6"/>
              <w:spacing w:before="150" w:beforeAutospacing="0" w:after="0" w:afterAutospacing="0" w:line="360" w:lineRule="auto"/>
              <w:ind w:firstLine="560" w:firstLineChars="200"/>
              <w:rPr>
                <w:b w:val="0"/>
                <w:bCs w:val="0"/>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C1E10EA"/>
    <w:rsid w:val="0F151173"/>
    <w:rsid w:val="124217B7"/>
    <w:rsid w:val="1DA84CB7"/>
    <w:rsid w:val="21BA145D"/>
    <w:rsid w:val="2C0431B9"/>
    <w:rsid w:val="2E9523EE"/>
    <w:rsid w:val="34C25CD3"/>
    <w:rsid w:val="359729E2"/>
    <w:rsid w:val="37EE1B09"/>
    <w:rsid w:val="3E631E3D"/>
    <w:rsid w:val="52271947"/>
    <w:rsid w:val="5A554DAE"/>
    <w:rsid w:val="669C425A"/>
    <w:rsid w:val="71C823A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9"/>
    <w:qFormat/>
    <w:uiPriority w:val="99"/>
    <w:pPr>
      <w:keepNext/>
      <w:keepLines/>
      <w:spacing w:before="260" w:after="260" w:line="416" w:lineRule="auto"/>
      <w:outlineLvl w:val="1"/>
    </w:pPr>
    <w:rPr>
      <w:rFonts w:ascii="Arial" w:hAnsi="Arial" w:eastAsia="黑体"/>
      <w:bCs/>
      <w:kern w:val="0"/>
      <w:sz w:val="28"/>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lock Text"/>
    <w:basedOn w:val="1"/>
    <w:semiHidden/>
    <w:unhideWhenUsed/>
    <w:qFormat/>
    <w:uiPriority w:val="99"/>
    <w:pPr>
      <w:spacing w:after="120" w:afterLines="0" w:afterAutospacing="0"/>
      <w:ind w:left="1440" w:leftChars="700" w:rightChars="700"/>
    </w:pPr>
  </w:style>
  <w:style w:type="paragraph" w:styleId="4">
    <w:name w:val="footer"/>
    <w:basedOn w:val="1"/>
    <w:link w:val="11"/>
    <w:semiHidden/>
    <w:unhideWhenUsed/>
    <w:qFormat/>
    <w:uiPriority w:val="99"/>
    <w:pPr>
      <w:tabs>
        <w:tab w:val="center" w:pos="4153"/>
        <w:tab w:val="right" w:pos="8306"/>
      </w:tabs>
      <w:snapToGrid w:val="0"/>
      <w:jc w:val="left"/>
    </w:pPr>
    <w:rPr>
      <w:sz w:val="18"/>
      <w:szCs w:val="18"/>
    </w:rPr>
  </w:style>
  <w:style w:type="paragraph" w:styleId="5">
    <w:name w:val="header"/>
    <w:basedOn w:val="1"/>
    <w:link w:val="10"/>
    <w:semiHidden/>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2 Char"/>
    <w:link w:val="2"/>
    <w:locked/>
    <w:uiPriority w:val="99"/>
    <w:rPr>
      <w:rFonts w:ascii="Arial" w:hAnsi="Arial" w:eastAsia="黑体" w:cs="Times New Roman"/>
      <w:sz w:val="32"/>
    </w:rPr>
  </w:style>
  <w:style w:type="character" w:customStyle="1" w:styleId="10">
    <w:name w:val="页眉 Char"/>
    <w:link w:val="5"/>
    <w:semiHidden/>
    <w:qFormat/>
    <w:uiPriority w:val="99"/>
    <w:rPr>
      <w:kern w:val="2"/>
      <w:sz w:val="18"/>
      <w:szCs w:val="18"/>
    </w:rPr>
  </w:style>
  <w:style w:type="character" w:customStyle="1" w:styleId="11">
    <w:name w:val="页脚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1757</Words>
  <Characters>1781</Characters>
  <Lines>1</Lines>
  <Paragraphs>1</Paragraphs>
  <TotalTime>0</TotalTime>
  <ScaleCrop>false</ScaleCrop>
  <LinksUpToDate>false</LinksUpToDate>
  <CharactersWithSpaces>1790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2023-10-16T02:44:28Z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6F957893B3F74C7695F2E3336BAEFA13</vt:lpwstr>
  </property>
</Properties>
</file>