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val="en-US" w:eastAsia="zh-CN"/>
              </w:rPr>
            </w:pPr>
            <w:r>
              <w:rPr>
                <w:rFonts w:hint="eastAsia"/>
                <w:sz w:val="28"/>
                <w:szCs w:val="28"/>
                <w:lang w:val="en-US" w:eastAsia="zh-CN"/>
              </w:rPr>
              <w:t>俞龙</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8522" w:type="dxa"/>
            <w:gridSpan w:val="6"/>
          </w:tcPr>
          <w:p>
            <w:pPr>
              <w:ind w:firstLine="413"/>
              <w:rPr>
                <w:rFonts w:hint="eastAsia"/>
                <w:b/>
                <w:sz w:val="24"/>
              </w:rPr>
            </w:pPr>
            <w:r>
              <w:rPr>
                <w:rFonts w:hint="eastAsia"/>
                <w:b/>
                <w:sz w:val="24"/>
              </w:rPr>
              <w:t>学习内容：</w:t>
            </w:r>
            <w:r>
              <w:rPr>
                <w:b/>
                <w:sz w:val="24"/>
              </w:rPr>
              <w:t xml:space="preserve"> </w:t>
            </w:r>
            <w:r>
              <w:rPr>
                <w:rFonts w:hint="eastAsia"/>
                <w:b/>
                <w:sz w:val="24"/>
              </w:rPr>
              <w:t>体教融合视域下青少年校园足球发展策略</w:t>
            </w:r>
          </w:p>
          <w:p>
            <w:pPr>
              <w:ind w:firstLine="413"/>
              <w:rPr>
                <w:rFonts w:hint="eastAsia" w:ascii="宋体" w:hAnsi="宋体" w:eastAsia="宋体" w:cs="宋体"/>
                <w:b w:val="0"/>
                <w:bCs/>
                <w:sz w:val="24"/>
              </w:rPr>
            </w:pPr>
            <w:r>
              <w:rPr>
                <w:rFonts w:hint="eastAsia" w:ascii="宋体" w:hAnsi="宋体" w:eastAsia="宋体" w:cs="宋体"/>
                <w:b w:val="0"/>
                <w:bCs/>
                <w:sz w:val="24"/>
              </w:rPr>
              <w:t>我国中小学校园足球持续推进的现实困境</w:t>
            </w:r>
          </w:p>
          <w:p>
            <w:pPr>
              <w:ind w:firstLine="413"/>
              <w:rPr>
                <w:rFonts w:hint="eastAsia" w:ascii="宋体" w:hAnsi="宋体" w:eastAsia="宋体" w:cs="宋体"/>
                <w:b w:val="0"/>
                <w:bCs/>
                <w:sz w:val="24"/>
              </w:rPr>
            </w:pPr>
            <w:r>
              <w:rPr>
                <w:rFonts w:hint="eastAsia" w:ascii="宋体" w:hAnsi="宋体" w:eastAsia="宋体" w:cs="宋体"/>
                <w:b w:val="0"/>
                <w:bCs/>
                <w:sz w:val="24"/>
              </w:rPr>
              <w:t>我国政策持续推进速度与地方中小学学校园足球发展执行力度不均等    从2009-2021年底国务院及各部委共出台92关于校园足球发展的政策，通过对政策的梳理与分析发现:首先从政策制定与颁发部门来看,2014年前校园足球政策体系颁布均以国家体育总局为主体，随着国民教育体系的回归，到2015年后开始出现以教育部门为主体，协同国家则一政部等6部门多元协同治理的局面，由此可以看出教育部等多部门的协同参与制定体现国家对校园足球工作开展的高度重视，校园足球顶层设计体系日益完善;其次从政策主要内容来看，国家在整体大为一钊一下根据校园足球实际工作开展所面临的困境进行钊一对性的政策支持、环境保障、监督与管理体系的构建，促进校园足球健康发展。尽管我国政府顶层设计下的政策体系日益丰富完善，但校园足球工作的实际开展力度却不像预期想象中开展的顺利，究其原因发现，一为一面我国不论体育管理体制或教育管理体制深受垂直向下、条块分害J明显管理模式的影响r，体育系统育教育系统并未从根本上消除行政壁垒，无法发牛体育与教育制度根本上的变革;另一为一面我国在政府顶层设计下各地市相应出台系列校园足球政策与工作实施意见，但部分地区则一政部、共青团中央等部门缺少相应的配套措施，如宣传力度不到位、资金支持来源渠道单一等。校园足球高质量发展保障体系还有待加强，仍需进一步持续完善。</w:t>
            </w:r>
          </w:p>
          <w:p>
            <w:pPr>
              <w:ind w:firstLine="413"/>
              <w:rPr>
                <w:rFonts w:hint="eastAsia" w:ascii="宋体" w:hAnsi="宋体" w:eastAsia="宋体" w:cs="宋体"/>
                <w:b w:val="0"/>
                <w:bCs/>
                <w:sz w:val="24"/>
              </w:rPr>
            </w:pPr>
            <w:r>
              <w:rPr>
                <w:rFonts w:hint="eastAsia" w:ascii="宋体" w:hAnsi="宋体" w:eastAsia="宋体" w:cs="宋体"/>
                <w:b w:val="0"/>
                <w:bCs/>
                <w:sz w:val="24"/>
              </w:rPr>
              <w:t xml:space="preserve"> 2我国中小学青少年校园足球推广过程中学校内生动力不足    近年来随着我国政策导向与公共购买服务的不断增强，校园足球工作的开展取得显著的效果，如中小学特色足球学校基本达到1/7。然而，在部分中小学校园足球推广过程中暴露出的一此问题及困境阻碍工作的有序开展。首先，从学校教育理念上来讲:目前各地市中小学足球特色学校呈爆发式增长，部分学校“重提高、轻普及”的两极化为一向发展忽视足球育人的美育功能，仍专注于专项技能的培养，校园足球的开展偏离教育的价值，进而导致校园足球的参与人数较少。其次从学校教育内部环境来说，随着我国体育课程体系改革的深化，学校体育资源与师资体系日益完善，同时校园足球领导小组的设立成为校园足球发展的主力军。但当前，部分中小学碍于升学压力出现“重文轻武”的传统教育思想进一步阻碍了校园足球文化的推广;部分体育教师足球专项技能水平与实际指导能力的欠缺导致青少年参与校园足球的积极性将会大打折扣，同时学校体育设施资源设备的合理配置也是影响校园足球持续推广的重要一环。从根本上来看，学校内部缺少以校园足球工作领导小组的为主导统筹体育教师、学牛及家长共同协调参与的管理体制，中小学内部保障体系需要配合国家大政策落实到位，积极加强学校自身建设力度。</w:t>
            </w:r>
          </w:p>
          <w:p>
            <w:pPr>
              <w:ind w:firstLine="413"/>
              <w:rPr>
                <w:rFonts w:hint="eastAsia" w:ascii="宋体" w:hAnsi="宋体" w:eastAsia="宋体" w:cs="宋体"/>
                <w:b w:val="0"/>
                <w:bCs/>
                <w:sz w:val="24"/>
              </w:rPr>
            </w:pPr>
            <w:r>
              <w:rPr>
                <w:rFonts w:hint="eastAsia" w:ascii="宋体" w:hAnsi="宋体" w:eastAsia="宋体" w:cs="宋体"/>
                <w:b w:val="0"/>
                <w:bCs/>
                <w:sz w:val="24"/>
              </w:rPr>
              <w:t>我国中小学青少年校园足球发展多元组织协同治理体系欠缺</w:t>
            </w:r>
          </w:p>
          <w:p>
            <w:pPr>
              <w:ind w:firstLine="413"/>
              <w:rPr>
                <w:rFonts w:hint="eastAsia" w:eastAsia="宋体"/>
                <w:sz w:val="24"/>
                <w:lang w:eastAsia="zh-CN"/>
              </w:rPr>
            </w:pPr>
            <w:r>
              <w:rPr>
                <w:rFonts w:hint="eastAsia" w:ascii="宋体" w:hAnsi="宋体" w:eastAsia="宋体" w:cs="宋体"/>
                <w:b w:val="0"/>
                <w:bCs/>
                <w:sz w:val="24"/>
                <w:lang w:val="en-US" w:eastAsia="zh-CN"/>
              </w:rPr>
              <w:t>,</w:t>
            </w:r>
            <w:r>
              <w:rPr>
                <w:rFonts w:hint="eastAsia" w:ascii="宋体" w:hAnsi="宋体" w:eastAsia="宋体" w:cs="宋体"/>
                <w:b w:val="0"/>
                <w:bCs/>
                <w:sz w:val="24"/>
              </w:rPr>
              <w:t>虽然我国正在推进社会力量参与到学校体育教育环境中，但目前尚未成熟的市场化和商业化运行体系难以充分发挥政府、社会组织、企业、学校等多为一协同治理校园足球发展的功能，使得我国部分中小学青少年校园足球处于孤立环境之中。首先从政府治理主体而言，我国以政府为主导治理模式忽视社会力量的协同参与，对体育社会组织的培育与引导力度有所欠缺。虽然我国关于促进青少年校园足球参与政策居多，但政策内容过于笼统，对于各部门职责划分与联络渠道缺少实践性的指导意见。其次从社会组织层面来说，各级政府陆续出台关于体育社会组织发展的扶持政策加大了社会力量进人校园足球发展中的准人力度，但专业社区指导员的晤乏成为一种普遍现象，导致青少年校园足球的缺少社会力量推进校园足球活动的最低评价标准，使得校外培训机构及俱乐部的足球教学和活动质量难以得到保障。由此可见，学校体育与社区体育在校园足球的开展与推进为一面都在各自独立的环境中进行，未形成协同治理的格局，导致校园足球活动在高质量发展过程中出现空档期，优势资源无法互惠共享，限制校园足球的影响范围，因此目前我国校园足球的落实与推进工作的仍需积极的进行模式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3"/>
              <w:spacing w:before="150" w:beforeAutospacing="0" w:after="0" w:afterAutospacing="0" w:line="360" w:lineRule="auto"/>
              <w:rPr>
                <w:rFonts w:hint="eastAsia" w:eastAsia="宋体"/>
                <w:b w:val="0"/>
                <w:bCs w:val="0"/>
                <w:sz w:val="28"/>
                <w:szCs w:val="28"/>
                <w:lang w:eastAsia="zh-CN"/>
              </w:rPr>
            </w:pPr>
            <w:r>
              <w:rPr>
                <w:rFonts w:hint="eastAsia"/>
                <w:b/>
                <w:sz w:val="28"/>
                <w:szCs w:val="28"/>
              </w:rPr>
              <w:t>学习心得：</w:t>
            </w:r>
            <w:r>
              <w:rPr>
                <w:rFonts w:hint="eastAsia" w:ascii="宋体" w:hAnsi="宋体" w:eastAsia="宋体" w:cs="宋体"/>
                <w:b w:val="0"/>
                <w:bCs/>
                <w:sz w:val="28"/>
                <w:szCs w:val="28"/>
              </w:rPr>
              <w:t>破除体育与教育部门行政壁垒，赋予双方同等管理权力</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建立大中小学一体化教学体系，健全后备竞技人才培养机制</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构建以政府为主导鼓励学校、社会组织、企业多元协同治理的开展模式</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00000000"/>
    <w:rsid w:val="1E7C688B"/>
    <w:rsid w:val="27C04390"/>
    <w:rsid w:val="3BBB1F5C"/>
    <w:rsid w:val="57D6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1764</Words>
  <Characters>1787</Characters>
  <Lines>0</Lines>
  <Paragraphs>0</Paragraphs>
  <TotalTime>0</TotalTime>
  <ScaleCrop>false</ScaleCrop>
  <LinksUpToDate>false</LinksUpToDate>
  <CharactersWithSpaces>1797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2023-08-24T11:46:00Z</dcterms:created>
  <dc:creator>Administrator</dc:creator>
  <cp:lastModifiedBy>SO. YONG.</cp:lastModifiedBy>
  <dcterms:modified xsi:type="dcterms:W3CDTF">2023-10-17T00:13:50Z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80F454A2DD3243A289A34C30AFC1AD33_12</vt:lpwstr>
  </property>
</Properties>
</file>