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金赟</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8522" w:type="dxa"/>
            <w:gridSpan w:val="6"/>
          </w:tcPr>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rPr>
            </w:pPr>
            <w:r>
              <w:rPr>
                <w:rFonts w:hint="eastAsia"/>
              </w:rPr>
              <w:t>学习内容：“学一练一赛”一体化高校校园足球发展模式实践研究</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r>
              <w:rPr>
                <w:rFonts w:hint="eastAsia"/>
                <w:lang w:eastAsia="zh-CN"/>
              </w:rPr>
              <w:t>“学一练一赛”一体化校园足球发展模式构建和创新</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r>
              <w:rPr>
                <w:rFonts w:hint="eastAsia"/>
                <w:lang w:eastAsia="zh-CN"/>
              </w:rPr>
              <w:t>模式构建</w:t>
            </w:r>
          </w:p>
          <w:p>
            <w:pPr>
              <w:pStyle w:val="2"/>
              <w:keepNext w:val="0"/>
              <w:keepLines w:val="0"/>
              <w:pageBreakBefore w:val="0"/>
              <w:widowControl w:val="0"/>
              <w:kinsoku/>
              <w:wordWrap/>
              <w:overflowPunct/>
              <w:topLinePunct w:val="0"/>
              <w:autoSpaceDE/>
              <w:autoSpaceDN/>
              <w:bidi w:val="0"/>
              <w:adjustRightInd/>
              <w:snapToGrid/>
              <w:ind w:left="0" w:leftChars="0" w:rightChars="0" w:firstLine="420"/>
              <w:textAlignment w:val="auto"/>
              <w:rPr>
                <w:rFonts w:hint="eastAsia"/>
                <w:lang w:eastAsia="zh-CN"/>
              </w:rPr>
            </w:pPr>
            <w:r>
              <w:rPr>
                <w:rFonts w:hint="eastAsia"/>
                <w:lang w:eastAsia="zh-CN"/>
              </w:rPr>
              <w:t>该研究结合实际，科学论证并提出“学一练一赛”一体化校园足球发展模式，以“教学是基础、训练是重点、竞赛是关键的11J}与提高相互促进、螺旋上升”为基本理念，将足球理论知识和技战术的学习、足球课外训练及足球竞赛融为一体，贯穿于模式探索、实施、实践、反哺等各个阶段。如何通过足球项目11二及教学、选拔足球爱好者业余训练及举办各种形式的校园足球比赛，将校园足球“学一练一赛”有机结合，是研究重点。</w:t>
            </w:r>
          </w:p>
          <w:p>
            <w:pPr>
              <w:pStyle w:val="2"/>
              <w:keepNext w:val="0"/>
              <w:keepLines w:val="0"/>
              <w:pageBreakBefore w:val="0"/>
              <w:widowControl w:val="0"/>
              <w:kinsoku/>
              <w:wordWrap/>
              <w:overflowPunct/>
              <w:topLinePunct w:val="0"/>
              <w:autoSpaceDE/>
              <w:autoSpaceDN/>
              <w:bidi w:val="0"/>
              <w:adjustRightInd/>
              <w:snapToGrid/>
              <w:ind w:left="0" w:leftChars="0" w:rightChars="0" w:firstLine="420"/>
              <w:textAlignment w:val="auto"/>
              <w:rPr>
                <w:rFonts w:hint="eastAsia"/>
                <w:lang w:eastAsia="zh-CN"/>
              </w:rPr>
            </w:pPr>
            <w:r>
              <w:rPr>
                <w:rFonts w:hint="eastAsia"/>
                <w:lang w:eastAsia="zh-CN"/>
              </w:rPr>
              <w:t>模式创新</w:t>
            </w:r>
            <w:r>
              <w:rPr>
                <w:rFonts w:hint="eastAsia"/>
                <w:lang w:val="en-US" w:eastAsia="zh-CN"/>
              </w:rPr>
              <w:t xml:space="preserve"> </w:t>
            </w:r>
            <w:bookmarkStart w:id="0" w:name="_GoBack"/>
            <w:bookmarkEnd w:id="0"/>
            <w:r>
              <w:rPr>
                <w:rFonts w:hint="eastAsia"/>
                <w:lang w:eastAsia="zh-CN"/>
              </w:rPr>
              <w:t>螺旋上升、良吐循环发展模式创新模式路径:扩大足球项目宣传，改善足球运动场地设施—培养学生足球兴趣和参与积极性，增加足球参与人数—促进足球课程改革、促进足球训练和课外足球活动的开展—科学选材、积极训练，提高足球运动技能—取得良好运动成绩，提高知名度—迎来兄弟院校交流和学习—促进和提高运动成绩—反哺足球选材—反哺学生参与—反哺项目开展—反哺运动成绩。每个环节互为因果、相互促进，在螺旋上升中形成校园足球的良吐循环发展。2.2.2新理念指导下的技术与实践相结合训练方法创新校园足球训练方法打破传统以技术为主导的训练方法，在最新足球训练理念指导下，技术训练与实践相结合使用，充分开发队员探求欲的训练方法。其主要特点:任何技术动作都要设定比赛场景，模拟实战进行动态训练;每次训练前都不公布训练内容，训练后对学生进行提问，开发学生探求欲，发散思维，发展想象力。3“学一练一赛”一体化校园足球发展模式实践“学一练一赛”一体化校园足球发展模式实施过程中分为学习11J}、练习提高、竞赛实践、反哺质变4个阶段。人口基数的11二及是基础，竞赛成绩的提高是目标，身体素质、兴趣爱好提高和终身体育意识养成是目的。3.，校园足球学习普及阶段措施第一，扩大足球宣传，培养足球兴趣。兴趣以需要为基础，学生若对足球活动感到有需要，那么他就会热心于接触、观察并积极从事这项活动，探索其中的“奥妙”、获取乐趣，兴趣对人的认识和活动产生积极的影响。通过学院网站、广播、学生QQ群、微信群、抖音等各种途径和媒介，大力宣传校园足球，让足球运动深人每个学生心中，有效激发学生的足球兴趣。每年的新生报道阶段，足球协会可通过小卡片、宣传单、动画视频、多媒体、竞赛精简视频等方式积极宣传，壮大协会队伍。体育教研室定期举办面向全校师生的足球公开课，为足球爱好者提供学习交流机会。同时要求体育教师在授课过程中，穿插宣传校园足球运动项目，激发学生足球兴趣。第二，改善场地设施，促进学生参与。积极改建、扩建足球场地，并派专人管理;以不影响新学期教学、ail练使用为原则定期采购足球教学和训练器材。海南经贸职业技术学院两个灯光足球场地满足了全校师生参与足球运动的需求，优质的足球运动器材和设置及足球运动环境极大地促进了学生参与的积极性，有效地扩大了足球参与人数和校足球队的选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rFonts w:hint="eastAsia" w:eastAsia="宋体"/>
                <w:b w:val="0"/>
                <w:bCs w:val="0"/>
                <w:sz w:val="28"/>
                <w:szCs w:val="28"/>
                <w:lang w:eastAsia="zh-CN"/>
              </w:rPr>
            </w:pPr>
            <w:r>
              <w:rPr>
                <w:rFonts w:hint="eastAsia"/>
                <w:b/>
                <w:sz w:val="28"/>
                <w:szCs w:val="28"/>
              </w:rPr>
              <w:t>学习心得：    第一，足球人数增加、学生素质提高。校园足球的发展有效促进了足球人口的增加，刺激了其他运动项目的发展，促进了学生身体素质普遍提高。第二，比赛成绩优异、社会口碑良好。突出的运动成绩受到社会的普遍关注，形成良好的社会口碑，提高了知名度，促进了校园足球的健康可持续发展。第三，队员就业良好、输送足球人才。部分校足球队队员、随队训练足球爱好者，毕业后在企事业单位受到重视，同时也为当地足球俱乐部、足球学校等输送足球技能和管理人术部分队员创业开设足球培训班，培养一批批优秀的足球运动员，充实了足球后备人才。第四，模式同行借鉴、足球文化发展。“学一练一赛”一体化高职校园足球发展得到同行、兄弟院校和省级相关部门的一致认可。</w:t>
            </w:r>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00000000"/>
    <w:rsid w:val="01E21D44"/>
    <w:rsid w:val="2BF4142E"/>
    <w:rsid w:val="43975230"/>
    <w:rsid w:val="6C0A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63</Characters>
  <Lines>0</Lines>
  <Paragraphs>0</Paragraphs>
  <TotalTime>4</TotalTime>
  <ScaleCrop>false</ScaleCrop>
  <LinksUpToDate>false</LinksUpToDate>
  <CharactersWithSpaces>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2023-09-04T01:20:00Z</dcterms:created>
  <dc:creator>Administrator</dc:creator>
  <cp:lastModifiedBy>SO. YONG.</cp:lastModifiedBy>
  <dcterms:modified xsi:type="dcterms:W3CDTF">2023-09-04T02:18:13Z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7E332795C7284117A9BA8AB2C9066F33_12</vt:lpwstr>
  </property>
</Properties>
</file>