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数学教研组活动记录</w:t>
      </w:r>
    </w:p>
    <w:tbl>
      <w:tblPr>
        <w:tblStyle w:val="3"/>
        <w:tblW w:w="9093" w:type="dxa"/>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3608"/>
        <w:gridCol w:w="1027"/>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9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活动时间</w:t>
            </w:r>
          </w:p>
        </w:tc>
        <w:tc>
          <w:tcPr>
            <w:tcW w:w="360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2023. 2.16    </w:t>
            </w:r>
          </w:p>
        </w:tc>
        <w:tc>
          <w:tcPr>
            <w:tcW w:w="102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主持人</w:t>
            </w:r>
          </w:p>
        </w:tc>
        <w:tc>
          <w:tcPr>
            <w:tcW w:w="306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叶婷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9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活动主题</w:t>
            </w:r>
          </w:p>
        </w:tc>
        <w:tc>
          <w:tcPr>
            <w:tcW w:w="7696" w:type="dxa"/>
            <w:gridSpan w:val="3"/>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基于课标，向质量出发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活动地点</w:t>
            </w:r>
          </w:p>
        </w:tc>
        <w:tc>
          <w:tcPr>
            <w:tcW w:w="7696" w:type="dxa"/>
            <w:gridSpan w:val="3"/>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梦想教室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139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加</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员</w:t>
            </w:r>
          </w:p>
        </w:tc>
        <w:tc>
          <w:tcPr>
            <w:tcW w:w="7696" w:type="dxa"/>
            <w:gridSpan w:val="3"/>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4733290" cy="1459230"/>
                  <wp:effectExtent l="0" t="0" r="3810" b="1270"/>
                  <wp:docPr id="1" name="图片 1" descr="eb5543c9d699391e90beee9ccf16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b5543c9d699391e90beee9ccf16949"/>
                          <pic:cNvPicPr>
                            <a:picLocks noChangeAspect="1"/>
                          </pic:cNvPicPr>
                        </pic:nvPicPr>
                        <pic:blipFill>
                          <a:blip r:embed="rId4"/>
                          <a:stretch>
                            <a:fillRect/>
                          </a:stretch>
                        </pic:blipFill>
                        <pic:spPr>
                          <a:xfrm>
                            <a:off x="0" y="0"/>
                            <a:ext cx="4733290" cy="14592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0" w:hRule="atLeast"/>
        </w:trPr>
        <w:tc>
          <w:tcPr>
            <w:tcW w:w="139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活动内容</w:t>
            </w:r>
          </w:p>
        </w:tc>
        <w:tc>
          <w:tcPr>
            <w:tcW w:w="7696" w:type="dxa"/>
            <w:gridSpan w:val="3"/>
            <w:vAlign w:val="center"/>
          </w:tcPr>
          <w:p>
            <w:pPr>
              <w:numPr>
                <w:numId w:val="0"/>
              </w:num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一、叶婷关于《数与运算》的简易讲座</w:t>
            </w:r>
          </w:p>
          <w:p>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745355" cy="2589530"/>
                  <wp:effectExtent l="0" t="0" r="444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745355" cy="2589530"/>
                          </a:xfrm>
                          <a:prstGeom prst="rect">
                            <a:avLst/>
                          </a:prstGeom>
                          <a:noFill/>
                          <a:ln>
                            <a:noFill/>
                          </a:ln>
                        </pic:spPr>
                      </pic:pic>
                    </a:graphicData>
                  </a:graphic>
                </wp:inline>
              </w:drawing>
            </w:r>
          </w:p>
          <w:p>
            <w:pPr>
              <w:widowControl w:val="0"/>
              <w:numPr>
                <w:ilvl w:val="0"/>
                <w:numId w:val="0"/>
              </w:num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rPr>
              <w:drawing>
                <wp:inline distT="0" distB="0" distL="114300" distR="114300">
                  <wp:extent cx="4747260" cy="2610485"/>
                  <wp:effectExtent l="0" t="0" r="254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4747260" cy="2610485"/>
                          </a:xfrm>
                          <a:prstGeom prst="rect">
                            <a:avLst/>
                          </a:prstGeom>
                          <a:noFill/>
                          <a:ln>
                            <a:noFill/>
                          </a:ln>
                        </pic:spPr>
                      </pic:pic>
                    </a:graphicData>
                  </a:graphic>
                </wp:inline>
              </w:drawing>
            </w:r>
          </w:p>
          <w:p>
            <w:pPr>
              <w:numPr>
                <w:numId w:val="0"/>
              </w:num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二、各位老师发表意见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叶婷：</w:t>
            </w:r>
            <w:r>
              <w:rPr>
                <w:rFonts w:hint="eastAsia" w:ascii="宋体" w:hAnsi="宋体" w:eastAsia="宋体" w:cs="宋体"/>
                <w:i w:val="0"/>
                <w:iCs w:val="0"/>
                <w:color w:val="000000"/>
                <w:kern w:val="0"/>
                <w:sz w:val="24"/>
                <w:szCs w:val="24"/>
                <w:u w:val="none"/>
                <w:lang w:val="en-US" w:eastAsia="zh-CN" w:bidi="ar"/>
              </w:rPr>
              <w:t>数的认识与数的运算本质上是一致的，抓住“十进制”，“计数单位”这些核心概念。运算教学要将算理与算法融合，用“计数单位的分与合”思维打通算理与算法。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孙小婷：</w:t>
            </w:r>
            <w:r>
              <w:rPr>
                <w:rFonts w:hint="eastAsia" w:ascii="宋体" w:hAnsi="宋体" w:eastAsia="宋体" w:cs="宋体"/>
                <w:i w:val="0"/>
                <w:iCs w:val="0"/>
                <w:color w:val="000000"/>
                <w:kern w:val="0"/>
                <w:sz w:val="24"/>
                <w:szCs w:val="24"/>
                <w:u w:val="none"/>
                <w:lang w:val="en-US" w:eastAsia="zh-CN" w:bidi="ar"/>
              </w:rPr>
              <w:t>注重大单元教学，保持估算、口算和笔算一致性，笔算和灵活计算一致性，让学生明白算理，而不只是清楚算法。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姜丹妮：</w:t>
            </w:r>
            <w:r>
              <w:rPr>
                <w:rFonts w:hint="eastAsia" w:ascii="宋体" w:hAnsi="宋体" w:eastAsia="宋体" w:cs="宋体"/>
                <w:i w:val="0"/>
                <w:iCs w:val="0"/>
                <w:color w:val="000000"/>
                <w:kern w:val="0"/>
                <w:sz w:val="24"/>
                <w:szCs w:val="24"/>
                <w:u w:val="none"/>
                <w:lang w:val="en-US" w:eastAsia="zh-CN" w:bidi="ar"/>
              </w:rPr>
              <w:t>数与运算在三年级课程中覆盖很广，三年级下册第一单元就是两位数乘两位数，涉及十进制，满十进一，计数单位，特别是末尾有0的两位数乘两位数，更体现了算理的重要性。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马桂玉：</w:t>
            </w:r>
            <w:r>
              <w:rPr>
                <w:rFonts w:hint="eastAsia" w:ascii="宋体" w:hAnsi="宋体" w:eastAsia="宋体" w:cs="宋体"/>
                <w:i w:val="0"/>
                <w:iCs w:val="0"/>
                <w:color w:val="000000"/>
                <w:kern w:val="0"/>
                <w:sz w:val="24"/>
                <w:szCs w:val="24"/>
                <w:u w:val="none"/>
                <w:lang w:val="en-US" w:eastAsia="zh-CN" w:bidi="ar"/>
              </w:rPr>
              <w:t>课标明确要求能够明晰运算的对象和意义，理解算法与算理之间的关系；能够理解运算的问题，选择合理简洁的运算策略解决问题；能够通过运算促进数学推理能力的发展。可见教学过程当中，我们要尤其重视算理的理解教学，以及教学策略的优化与选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黄平东：老师们在认真学习理解新课标的过程中，要重视对教学内容的整体分析，提炼能建立数学知识间的结构与联系，帮助学生学会用整体的、联系的、发展的眼光看问题，发展数学核心素养。</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陈艳：我们要基于算理，让学生掌握算法，让学生理解</w:t>
            </w:r>
          </w:p>
          <w:p>
            <w:pPr>
              <w:keepNext w:val="0"/>
              <w:keepLines w:val="0"/>
              <w:widowControl/>
              <w:suppressLineNumbers w:val="0"/>
              <w:ind w:left="880" w:hanging="964" w:hangingChars="4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杨春娟：</w:t>
            </w:r>
            <w:r>
              <w:rPr>
                <w:rFonts w:hint="eastAsia" w:ascii="宋体" w:hAnsi="宋体" w:eastAsia="宋体" w:cs="宋体"/>
                <w:i w:val="0"/>
                <w:iCs w:val="0"/>
                <w:color w:val="000000"/>
                <w:kern w:val="0"/>
                <w:sz w:val="24"/>
                <w:szCs w:val="24"/>
                <w:u w:val="none"/>
                <w:lang w:val="en-US" w:eastAsia="zh-CN" w:bidi="ar"/>
              </w:rPr>
              <w:t>要关注学生已有的知识和经验，关注知识的形成过程，以“生</w:t>
            </w:r>
          </w:p>
          <w:p>
            <w:pPr>
              <w:keepNext w:val="0"/>
              <w:keepLines w:val="0"/>
              <w:widowControl/>
              <w:suppressLineNumbers w:val="0"/>
              <w:ind w:left="880" w:hanging="960" w:hangingChars="4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活中的问题”为背景组织教学活动，引导学生通过活动获取知识并运用</w:t>
            </w:r>
          </w:p>
          <w:p>
            <w:pPr>
              <w:keepNext w:val="0"/>
              <w:keepLines w:val="0"/>
              <w:widowControl/>
              <w:suppressLineNumbers w:val="0"/>
              <w:ind w:left="880" w:hanging="960" w:hangingChars="4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到现实生活中。</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刘洋：</w:t>
            </w:r>
            <w:r>
              <w:rPr>
                <w:rFonts w:hint="eastAsia" w:ascii="宋体" w:hAnsi="宋体" w:eastAsia="宋体" w:cs="宋体"/>
                <w:i w:val="0"/>
                <w:iCs w:val="0"/>
                <w:color w:val="000000"/>
                <w:kern w:val="0"/>
                <w:sz w:val="24"/>
                <w:szCs w:val="24"/>
                <w:u w:val="none"/>
                <w:lang w:val="en-US" w:eastAsia="zh-CN" w:bidi="ar"/>
              </w:rPr>
              <w:t>经历算理和算法的探索过程，数形结合，突出算理，掌握算法。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梁晓英：</w:t>
            </w:r>
            <w:r>
              <w:rPr>
                <w:rFonts w:hint="eastAsia" w:ascii="宋体" w:hAnsi="宋体" w:eastAsia="宋体" w:cs="宋体"/>
                <w:i w:val="0"/>
                <w:iCs w:val="0"/>
                <w:color w:val="000000"/>
                <w:kern w:val="0"/>
                <w:sz w:val="24"/>
                <w:szCs w:val="24"/>
                <w:u w:val="none"/>
                <w:lang w:val="en-US" w:eastAsia="zh-CN" w:bidi="ar"/>
              </w:rPr>
              <w:t>不断提高自身知识水平和业务水平。</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朱燕：</w:t>
            </w:r>
            <w:r>
              <w:rPr>
                <w:rFonts w:hint="eastAsia" w:ascii="宋体" w:hAnsi="宋体" w:eastAsia="宋体" w:cs="宋体"/>
                <w:sz w:val="24"/>
                <w:szCs w:val="24"/>
                <w:lang w:val="en-US" w:eastAsia="zh-CN"/>
              </w:rPr>
              <w:t>新课标不但规定了学什么、怎么学、学到什么程度，同时还明确指出了考什么、怎么考，这样教学评三者之间就融为一体，师生依据课标教与学，依据学业质量练与考，学业质量标准已成为命题是否超纲准绳，教学评就实现一体化、一致性；素养立意、以标命题新导向将成为命题新常态。</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王月屹：</w:t>
            </w:r>
            <w:r>
              <w:rPr>
                <w:rFonts w:hint="eastAsia" w:ascii="宋体" w:hAnsi="宋体" w:eastAsia="宋体" w:cs="宋体"/>
                <w:sz w:val="24"/>
                <w:szCs w:val="24"/>
                <w:lang w:val="en-US" w:eastAsia="zh-CN"/>
              </w:rPr>
              <w:t>教学目标要关注学科核心素养，即大概念，教学内容要落实大概念形成、运用、迁移，教学测评要以质量标准为纲来评价大概念所体现的核心素养习得，三者要互相照应、匹配。它指向学生深度学习、高阶思维与核心素养达成。</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单雪莲：</w:t>
            </w:r>
            <w:r>
              <w:rPr>
                <w:rFonts w:hint="eastAsia" w:ascii="宋体" w:hAnsi="宋体" w:eastAsia="宋体" w:cs="宋体"/>
                <w:sz w:val="24"/>
                <w:szCs w:val="24"/>
                <w:lang w:val="en-US" w:eastAsia="zh-CN"/>
              </w:rPr>
              <w:t>学业质量标准背景下的新教学评一体化强调从碎片化课时设计走向大概念统整的、系统化的学习单位教学设计；新教学评一体化要求从单一学程设计，走向自我系统、元认知系统、认知系统的学习系统整体设计——目标设计、情景任务设计、规则设计 、工具设计，尤其是关注目标达成设计。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bookmarkStart w:id="0" w:name="_GoBack"/>
            <w:r>
              <w:rPr>
                <w:rFonts w:hint="eastAsia" w:ascii="宋体" w:hAnsi="宋体" w:eastAsia="宋体" w:cs="宋体"/>
                <w:b/>
                <w:bCs/>
                <w:sz w:val="24"/>
                <w:szCs w:val="24"/>
                <w:lang w:val="en-US" w:eastAsia="zh-CN"/>
              </w:rPr>
              <w:t>姜丹妮：</w:t>
            </w:r>
            <w:bookmarkEnd w:id="0"/>
            <w:r>
              <w:rPr>
                <w:rFonts w:hint="eastAsia" w:ascii="宋体" w:hAnsi="宋体" w:eastAsia="宋体" w:cs="宋体"/>
                <w:sz w:val="24"/>
                <w:szCs w:val="24"/>
                <w:lang w:val="en-US" w:eastAsia="zh-CN"/>
              </w:rPr>
              <w:t>新教学评一体化重视问题化系统构建，重视学习脚手架、学习策略多元分层设计，即关注知识在情境中的意义化——将知识放还到情境中，在情境中引发多样化的学习实践，将情境中的知识抽象为学科中心的关键概念和能力，在新情境中去检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4724400" cy="2657475"/>
                  <wp:effectExtent l="0" t="0" r="0" b="9525"/>
                  <wp:docPr id="4" name="图片 4" descr="a7e168749d373823156c2c538ccf4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7e168749d373823156c2c538ccf4cb"/>
                          <pic:cNvPicPr>
                            <a:picLocks noChangeAspect="1"/>
                          </pic:cNvPicPr>
                        </pic:nvPicPr>
                        <pic:blipFill>
                          <a:blip r:embed="rId7"/>
                          <a:stretch>
                            <a:fillRect/>
                          </a:stretch>
                        </pic:blipFill>
                        <pic:spPr>
                          <a:xfrm>
                            <a:off x="0" y="0"/>
                            <a:ext cx="4724400" cy="2657475"/>
                          </a:xfrm>
                          <a:prstGeom prst="rect">
                            <a:avLst/>
                          </a:prstGeom>
                        </pic:spPr>
                      </pic:pic>
                    </a:graphicData>
                  </a:graphic>
                </wp:inline>
              </w:drawing>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4724400" cy="2657475"/>
                  <wp:effectExtent l="0" t="0" r="0" b="9525"/>
                  <wp:docPr id="6" name="图片 6" descr="61c48f5677273bb6e90ff52322298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1c48f5677273bb6e90ff52322298e3"/>
                          <pic:cNvPicPr>
                            <a:picLocks noChangeAspect="1"/>
                          </pic:cNvPicPr>
                        </pic:nvPicPr>
                        <pic:blipFill>
                          <a:blip r:embed="rId8"/>
                          <a:stretch>
                            <a:fillRect/>
                          </a:stretch>
                        </pic:blipFill>
                        <pic:spPr>
                          <a:xfrm>
                            <a:off x="0" y="0"/>
                            <a:ext cx="4724400" cy="2657475"/>
                          </a:xfrm>
                          <a:prstGeom prst="rect">
                            <a:avLst/>
                          </a:prstGeom>
                        </pic:spPr>
                      </pic:pic>
                    </a:graphicData>
                  </a:graphic>
                </wp:inline>
              </w:drawing>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4724400" cy="2657475"/>
                  <wp:effectExtent l="0" t="0" r="0" b="9525"/>
                  <wp:docPr id="5" name="图片 5" descr="5481edb2965a57326f63c1d0e3af5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481edb2965a57326f63c1d0e3af58b"/>
                          <pic:cNvPicPr>
                            <a:picLocks noChangeAspect="1"/>
                          </pic:cNvPicPr>
                        </pic:nvPicPr>
                        <pic:blipFill>
                          <a:blip r:embed="rId9"/>
                          <a:stretch>
                            <a:fillRect/>
                          </a:stretch>
                        </pic:blipFill>
                        <pic:spPr>
                          <a:xfrm>
                            <a:off x="0" y="0"/>
                            <a:ext cx="4724400" cy="2657475"/>
                          </a:xfrm>
                          <a:prstGeom prst="rect">
                            <a:avLst/>
                          </a:prstGeom>
                        </pic:spPr>
                      </pic:pic>
                    </a:graphicData>
                  </a:graphic>
                </wp:inline>
              </w:drawing>
            </w:r>
          </w:p>
        </w:tc>
      </w:tr>
    </w:tbl>
    <w:p>
      <w:pPr>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jY1YmU2YWRmZDk5NzA5NzJjNGI1YzExNDI4ZjEifQ=="/>
  </w:docVars>
  <w:rsids>
    <w:rsidRoot w:val="705C48AE"/>
    <w:rsid w:val="04C410F4"/>
    <w:rsid w:val="06E710CA"/>
    <w:rsid w:val="09B72FD5"/>
    <w:rsid w:val="117D4B05"/>
    <w:rsid w:val="12064AFA"/>
    <w:rsid w:val="14B32012"/>
    <w:rsid w:val="151578E6"/>
    <w:rsid w:val="1864257A"/>
    <w:rsid w:val="1B302BE8"/>
    <w:rsid w:val="1D181B85"/>
    <w:rsid w:val="202D501E"/>
    <w:rsid w:val="20AC2D10"/>
    <w:rsid w:val="2B4C11CF"/>
    <w:rsid w:val="2EED2E72"/>
    <w:rsid w:val="2F57478F"/>
    <w:rsid w:val="30FC739C"/>
    <w:rsid w:val="321626E0"/>
    <w:rsid w:val="33C4267C"/>
    <w:rsid w:val="356D0868"/>
    <w:rsid w:val="35F03248"/>
    <w:rsid w:val="3B40257B"/>
    <w:rsid w:val="3BC44F5A"/>
    <w:rsid w:val="434C3669"/>
    <w:rsid w:val="44D75B31"/>
    <w:rsid w:val="45DB181E"/>
    <w:rsid w:val="46F807D6"/>
    <w:rsid w:val="4B8B15F1"/>
    <w:rsid w:val="4E061402"/>
    <w:rsid w:val="4E61488B"/>
    <w:rsid w:val="52410C5B"/>
    <w:rsid w:val="5A6B2D19"/>
    <w:rsid w:val="62115E50"/>
    <w:rsid w:val="69C51D1A"/>
    <w:rsid w:val="6CF760EE"/>
    <w:rsid w:val="6D205BE5"/>
    <w:rsid w:val="705C48AE"/>
    <w:rsid w:val="73D2575F"/>
    <w:rsid w:val="742F4960"/>
    <w:rsid w:val="75D457BF"/>
    <w:rsid w:val="7C596A1E"/>
    <w:rsid w:val="7CD42548"/>
    <w:rsid w:val="7F606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627</Words>
  <Characters>634</Characters>
  <Lines>0</Lines>
  <Paragraphs>0</Paragraphs>
  <TotalTime>3</TotalTime>
  <ScaleCrop>false</ScaleCrop>
  <LinksUpToDate>false</LinksUpToDate>
  <CharactersWithSpaces>643</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2019-08-30T07:15:00Z</dcterms:created>
  <dc:creator>小路</dc:creator>
  <cp:lastModifiedBy>叶子</cp:lastModifiedBy>
  <cp:lastPrinted>2019-08-30T07:18:00Z</cp:lastPrinted>
  <dcterms:modified xsi:type="dcterms:W3CDTF">2023-02-17T08:51:23Z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DBB044DE79DF46EFAB583B11B045FA9C</vt:lpwstr>
  </property>
</Properties>
</file>