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高高兴兴上幼儿园（一）</w:t>
            </w:r>
          </w:p>
          <w:p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并结合暑期班开展情况了解到，我班1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3名幼儿在家里情绪不稳定，一想到要上幼儿园就哭泣，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十分珍惜自己的标记。从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暑期班活动看出，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能较快适应幼儿园生活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名幼儿情绪不稳定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自理能力欠佳，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成人的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帮忙；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因此结合幼儿的基本情况和需求</w:t>
            </w:r>
            <w:r>
              <w:rPr>
                <w:rFonts w:hint="default" w:ascii="宋体" w:hAnsi="宋体"/>
                <w:bCs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、涂鸦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；角色区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绘本阅读《点点爱上幼儿园》、《大卫上学去》、《我爱幼儿园》、布书、洞洞书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多米诺骨牌、螺丝玩具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创意雪糕棒、自然材料拼搭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颜色变变变、平衡小钟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线条绘画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技能的发展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万能工匠材料的使用及整理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 w:val="0"/>
                <w:bCs/>
                <w:szCs w:val="21"/>
              </w:rPr>
              <w:t>羊角球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  <w:r>
              <w:rPr>
                <w:b w:val="0"/>
                <w:bCs/>
                <w:szCs w:val="21"/>
              </w:rPr>
              <w:t>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2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40" w:lineRule="auto"/>
              <w:rPr>
                <w:rFonts w:hint="default" w:eastAsia="宋体" w:asciiTheme="majorEastAsia" w:hAnsi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音乐：拍手点头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.律动：小花朵 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</w:p>
          <w:p>
            <w:pPr>
              <w:spacing w:line="240" w:lineRule="auto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.安全：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看望兔奶奶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胡淞溢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戚雷鹰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Hans"/>
        </w:rPr>
        <w:t>胡淞溢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015"/>
        <w:gridCol w:w="4758"/>
      </w:tblGrid>
      <w:tr>
        <w:trPr>
          <w:trHeight w:val="478" w:hRule="atLeast"/>
          <w:jc w:val="center"/>
        </w:trPr>
        <w:tc>
          <w:tcPr>
            <w:tcW w:w="2741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主题:高高兴兴上幼儿园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Hans"/>
              </w:rPr>
              <w:t>胡淞溢</w:t>
            </w:r>
            <w:r>
              <w:rPr>
                <w:rFonts w:hint="default" w:ascii="宋体" w:hAnsi="宋体" w:cs="宋体"/>
                <w:color w:val="000000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Hans"/>
              </w:rPr>
              <w:t>戚雷鹰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2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7FD250C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13</TotalTime>
  <ScaleCrop>false</ScaleCrop>
  <LinksUpToDate>false</LinksUpToDate>
  <CharactersWithSpaces>1165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hsy.</cp:lastModifiedBy>
  <cp:lastPrinted>2023-05-29T07:42:00Z</cp:lastPrinted>
  <dcterms:modified xsi:type="dcterms:W3CDTF">2023-09-01T09:47:46Z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529BEF1DA8EEF506C242F164CD4C8303_43</vt:lpwstr>
  </property>
</Properties>
</file>