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22" w:firstLineChars="200"/>
        <w:jc w:val="center"/>
        <w:rPr>
          <w:rFonts w:hint="eastAsia" w:ascii="宋体" w:hAnsi="宋体"/>
          <w:b/>
          <w:spacing w:val="15"/>
          <w:sz w:val="28"/>
          <w:szCs w:val="30"/>
        </w:rPr>
      </w:pPr>
      <w:r>
        <w:rPr>
          <w:rFonts w:ascii="宋体" w:hAnsi="宋体"/>
          <w:b/>
          <w:spacing w:val="15"/>
          <w:sz w:val="28"/>
          <w:szCs w:val="30"/>
        </w:rPr>
        <w:t>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3</w:t>
      </w:r>
      <w:r>
        <w:rPr>
          <w:rFonts w:ascii="宋体" w:hAnsi="宋体"/>
          <w:b/>
          <w:spacing w:val="15"/>
          <w:sz w:val="28"/>
          <w:szCs w:val="30"/>
        </w:rPr>
        <w:t>-20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4</w:t>
      </w:r>
      <w:r>
        <w:rPr>
          <w:rFonts w:ascii="宋体" w:hAnsi="宋体"/>
          <w:b/>
          <w:spacing w:val="15"/>
          <w:sz w:val="28"/>
          <w:szCs w:val="30"/>
        </w:rPr>
        <w:t>学年第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一</w:t>
      </w:r>
      <w:r>
        <w:rPr>
          <w:rFonts w:ascii="宋体" w:hAnsi="宋体"/>
          <w:b/>
          <w:spacing w:val="15"/>
          <w:sz w:val="28"/>
          <w:szCs w:val="30"/>
        </w:rPr>
        <w:t>学期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心理健康教育</w:t>
      </w:r>
      <w:r>
        <w:rPr>
          <w:rFonts w:ascii="宋体" w:hAnsi="宋体"/>
          <w:b/>
          <w:spacing w:val="15"/>
          <w:sz w:val="28"/>
          <w:szCs w:val="30"/>
        </w:rPr>
        <w:t>教研组计划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szCs w:val="18"/>
        </w:rPr>
      </w:pPr>
      <w:r>
        <w:rPr>
          <w:rFonts w:hint="eastAsia"/>
          <w:szCs w:val="18"/>
        </w:rPr>
        <w:t xml:space="preserve">一、指导思想：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 w:eastAsia="宋体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根据教育部《中小学心理健康教育指导纲要（2012年修订）》及学校、学部、教研室工作计划和要求，坚持面向全体学生和关注个别差异相结合的原则，注重学生心理和谐健康，加强人文关怀和心理疏导，根据中学生生理、心理发展特点和规律，把握不同年龄阶段学生的心理发展任务，运用心理健康教育的知识理论和方法技能，培养学生良好的心理素质，促进其身心全面和谐发展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二、工作目标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通过课堂教学、</w:t>
      </w:r>
      <w:r>
        <w:rPr>
          <w:rFonts w:hint="eastAsia"/>
          <w:szCs w:val="18"/>
          <w:lang w:val="en-US" w:eastAsia="zh-CN"/>
        </w:rPr>
        <w:t>团体辅导</w:t>
      </w:r>
      <w:r>
        <w:rPr>
          <w:rFonts w:hint="eastAsia"/>
          <w:szCs w:val="18"/>
        </w:rPr>
        <w:t>等多种形式，使学生学会学习和生活，正确认识自我，提高自主自助和自我教育能力，增强调控情绪、承受挫折、适应环境的能力，培养学生健全的人格和良好的个性心理品质。对有心理困扰或心理问题的学生，进行科学有效的心理辅导，及时给予必要的危机干预，提高其心理健康水平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三、核心素养进课堂行动方案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1.继续加强《核心素养》理论学习，积极运用新理念指导教学实践。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2.心理健康教育主题的选择共同商定，注意瞄准“适应终身发展和社会发展需要的必备品格和关键能力”这一核心素养的核心特质，结合本校的文化建设、学生培养目标和学生的认知发展阶段特点，既能体现出校本化的特色，又能满足学生的心理及实际生活需要，努力培养学生乐观向上，不断正确认识自我，调控自我，承受挫折，适应环境等心理核心素养，促进学生人格的健全发展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3.与课标学习相结合，通过集体备课，认真完成课标学习的电子版。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4.备课中积极渗透核心素养，将每课教案的核心素养目标在教学目标中明确地设计，并用红线醒目标明，教学中直接或间接地将核心素养内涵根植于学生内心，培养学生积极心理品质。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5.互相听评课重点议核心素养，继续深入研究和全面落实分项议课的十项细则，把重点放在议核心素养上，有利于促进教师的专业成长。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6.教学反思主要反思核心素养落实情况，根据平日的互相</w:t>
      </w:r>
      <w:r>
        <w:rPr>
          <w:rFonts w:hint="eastAsia"/>
          <w:szCs w:val="18"/>
          <w:lang w:val="en-US" w:eastAsia="zh-CN"/>
        </w:rPr>
        <w:t>听</w:t>
      </w:r>
      <w:r>
        <w:rPr>
          <w:rFonts w:hint="eastAsia"/>
          <w:szCs w:val="18"/>
        </w:rPr>
        <w:t>课议课，结合核心素养在教学中的实际渗透及落实情况，将教案中的教学反思继续按照得、失、改三方面认真进行反思总结。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7.重视课堂教学，扎扎实实上好每一节课，在课堂中积极渗透核心素养理念，充分发挥个人优势和团体力量，打造个人教学特色，努力做到以学生为主体，以学为中心，全面提升学生心理发展水平。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四、心理</w:t>
      </w:r>
      <w:r>
        <w:rPr>
          <w:rFonts w:hint="eastAsia"/>
          <w:szCs w:val="18"/>
          <w:lang w:val="en-US" w:eastAsia="zh-CN"/>
        </w:rPr>
        <w:t>教研组听</w:t>
      </w:r>
      <w:r>
        <w:rPr>
          <w:rFonts w:hint="eastAsia"/>
          <w:szCs w:val="18"/>
        </w:rPr>
        <w:t>课议课评价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根据教研室分项</w:t>
      </w:r>
      <w:r>
        <w:rPr>
          <w:rFonts w:hint="eastAsia"/>
          <w:szCs w:val="18"/>
          <w:lang w:val="en-US" w:eastAsia="zh-CN"/>
        </w:rPr>
        <w:t>听</w:t>
      </w:r>
      <w:r>
        <w:rPr>
          <w:rFonts w:hint="eastAsia"/>
          <w:szCs w:val="18"/>
        </w:rPr>
        <w:t>课议课要求，认真进行</w:t>
      </w:r>
      <w:r>
        <w:rPr>
          <w:rFonts w:hint="eastAsia"/>
          <w:szCs w:val="18"/>
          <w:lang w:val="en-US" w:eastAsia="zh-CN"/>
        </w:rPr>
        <w:t>听</w:t>
      </w:r>
      <w:r>
        <w:rPr>
          <w:rFonts w:hint="eastAsia"/>
          <w:szCs w:val="18"/>
        </w:rPr>
        <w:t>课议课，教师观课时注意既听又看，听看结合，注重观察：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1.候课规范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根据超觉静思法的课题研究要求，每节心理课前进行两分钟腹式呼吸练习，通过调息，促使学生静心安神，集中注意力，做好课前准备，提高学习效率。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2.导课有情境，贴近课程标准、教材和学生实际。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3.教学目标明确合理，重点突出（教师的教学目标达成意识强）。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4.教学环节流畅，时间把握合理。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5.教师教态亲切自然，教学语言严谨。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6.学生自主学习，小组合作，思维活跃，积极参与教学活动（教师要给学生创造机会，让他们主动参与，主动发展）。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7.教学中积极渗透核心素养。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8.板书设计科学精炼，教学方法灵活多样（符合教材、学生和教师实际）。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9.评价方式多样，反馈及时（重视学生动机、兴趣、习惯、信心等非智力因素培养）。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10.课堂小结提炼内化。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五、心理健康教育教研常规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1.继续落实好教研活动的纪律性、计划性、力求提升学术性。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认真组织参加每</w:t>
      </w:r>
      <w:r>
        <w:rPr>
          <w:rFonts w:hint="eastAsia"/>
          <w:szCs w:val="18"/>
          <w:lang w:val="en-US" w:eastAsia="zh-CN"/>
        </w:rPr>
        <w:t>月</w:t>
      </w:r>
      <w:r>
        <w:rPr>
          <w:rFonts w:hint="eastAsia"/>
          <w:szCs w:val="18"/>
        </w:rPr>
        <w:t>的心理健康教育教研活动，在一次次心与心的交流研讨中有所得、有所思、有所悟，在分享他人教育教学成果的同时，实现自身的发展与成长。加强专业知识的学习，努力提升个人的专业水平和教学素养，切实发挥教研实效，使教学实效最大化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加强对心理健康专业知识的学习，本学期教研时计划共读约翰·鲍尔比依恋理论系列《依恋三部曲：依恋（第一卷）》，本书详细探讨了母婴关系的本质，研究表明，婴儿与抚养者（主要是母亲）的依恋关系对其一生的情感发展具有十分重要的影响，教师要了解如何与孩子建立安全的依恋关系，帮助孩子形成健康的人格，进而拥有幸福的人生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2.聚焦课堂质量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结合课标学习落实好集体备课，做到研究与教材同步；每次研究的切入点要小；关键研究行动与对策。增加备学生的环节（每周针对学生学习中的一个具体问题研究解决对策），并体现在教研活动记录中。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结合教情、学情开展教学微课题研究，本学期围绕</w:t>
      </w:r>
      <w:r>
        <w:rPr>
          <w:rFonts w:hint="eastAsia"/>
          <w:szCs w:val="18"/>
          <w:lang w:val="en-US" w:eastAsia="zh-CN"/>
        </w:rPr>
        <w:t>关注重点学生身心健康</w:t>
      </w:r>
      <w:r>
        <w:rPr>
          <w:rFonts w:hint="eastAsia"/>
          <w:szCs w:val="18"/>
        </w:rPr>
        <w:t>方面确定研究主题，可以对教学中某个点进行思考与探究，研究目的要明确，准备要充分，进度上尽量提前，便于其他人借鉴与改进；围绕主题亦可开展同课异构活动，使教学研究更具针对性、更深入。每个教师确定自己的研究方向，有计划地推进，教师间自发相互听课，相互借鉴，加强教学研究，提升学生的学科素养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积极将学科教学与思政主题相融合，践行学科育人理念。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六、心理健康教育特色工作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宣传普及心理健康知识，倡导“每个人是自己心理健康第一责任人”的理念，帮助学生在日常生活中学会适应环境条件变化，提高自觉调控情绪的能力和应对挫折、适应环境的能力，培养学生健全的人格、积极的心态和良好的个性心理品质。帮助学生学会交往、正确处理人际关系，促进学生之间的有效沟通和互动互助，让学生在集体生活中感受到温暖，产生归属感、安全感和信赖感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围绕月活动主题，以课堂为主阵地，推动学科活动的开展，在活动中学习有利于激发学生学科兴趣、展现学生才华，历练提升学生的综合素质。教学相长，在提升学生的同时也成就了教师，努力培养学习型、思考型的骨干教师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七、心理健康教育其他工作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1.优化学生心理健康教育课程建设，以学生成长规律、遇到的实际问题和现实需要为主线设计心理课程内容，注重学业适应、人际交往、情绪调适、家庭关系、社会适应等专题教育，有效缓解学生心理压力，给予学生切实的帮助，加强人生观教育，塑造积极、健康的人生态度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2.加强学科教学研究，继续进行校本教材电子教案的编写，以《中小学心理健康教育指导纲要（2012年修订）》为依据，结构设计上注意突出心理活动课的特点，注重学生的体验与参与，教案的编写尽量详实有操作性，有利于教学设计的完善与教学水平的提高，有利于教学经验的总结积累，为今后的教学提供更好的依据和参考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3.继续进行潜能开发——超觉静思法的专题研究和实践推广，引导学生进行正念练习。通过课前三分钟练习、睡前练习等多种形式，帮助学生使用腹式呼吸等具体方法，宁心安神，静以生慧，养成良好的学习品质和生活作息习惯，积极进行潜能开发，有利于学生学习生活及考试心态调整，激发学习动力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4.在</w:t>
      </w:r>
      <w:r>
        <w:rPr>
          <w:rFonts w:hint="eastAsia"/>
          <w:szCs w:val="18"/>
          <w:lang w:val="en-US" w:eastAsia="zh-CN"/>
        </w:rPr>
        <w:t>本</w:t>
      </w:r>
      <w:r>
        <w:rPr>
          <w:rFonts w:hint="eastAsia"/>
          <w:szCs w:val="18"/>
        </w:rPr>
        <w:t>学期</w:t>
      </w:r>
      <w:r>
        <w:rPr>
          <w:rFonts w:hint="eastAsia"/>
          <w:szCs w:val="18"/>
          <w:lang w:val="en-US" w:eastAsia="zh-CN"/>
        </w:rPr>
        <w:t>继续开展</w:t>
      </w:r>
      <w:r>
        <w:rPr>
          <w:rFonts w:hint="eastAsia"/>
          <w:szCs w:val="18"/>
        </w:rPr>
        <w:t>班级心理委员培训，继续发挥每班男女生各一名学生心理委员的同伴互助作用，有利于将问题及时转达给班主任、辅导员和心理教师，将更多的心理问题解决在萌芽状态。班级心理委员继续每</w:t>
      </w:r>
      <w:r>
        <w:rPr>
          <w:rFonts w:hint="eastAsia"/>
          <w:szCs w:val="18"/>
          <w:lang w:val="en-US" w:eastAsia="zh-CN"/>
        </w:rPr>
        <w:t>月</w:t>
      </w:r>
      <w:r>
        <w:rPr>
          <w:rFonts w:hint="eastAsia"/>
          <w:szCs w:val="18"/>
        </w:rPr>
        <w:t>上报《班级学生心理状态表》，发现问题及时反馈到年级，做到学生心理问题“早发现、早报告、早预防”。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5.继续做好</w:t>
      </w:r>
      <w:r>
        <w:rPr>
          <w:rFonts w:hint="eastAsia"/>
          <w:szCs w:val="18"/>
          <w:lang w:val="en-US" w:eastAsia="zh-CN"/>
        </w:rPr>
        <w:t>中午休息和</w:t>
      </w:r>
      <w:r>
        <w:rPr>
          <w:rFonts w:hint="eastAsia"/>
          <w:szCs w:val="18"/>
        </w:rPr>
        <w:t>下午课</w:t>
      </w:r>
      <w:r>
        <w:rPr>
          <w:rFonts w:hint="eastAsia"/>
          <w:szCs w:val="18"/>
          <w:lang w:val="en-US" w:eastAsia="zh-CN"/>
        </w:rPr>
        <w:t>后服务</w:t>
      </w:r>
      <w:r>
        <w:rPr>
          <w:rFonts w:hint="eastAsia"/>
          <w:szCs w:val="18"/>
        </w:rPr>
        <w:t>时间的个体心理辅导工作，认真、专业的接待广大师生，帮助梳理、分析遇到的心理困扰，对超越心理辅导范畴的，给学生、家长说明情况，由家长转到专业机构诊治；及时整理辅导记录，完善心理档案；以个案辅导研究为抓手，提升教师专业成长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6.重点关注有潜在问题的学生，提高自己的专业助人水平，更好地服务广大师生。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7.对初一初二学生进行心理健康状况复查，比较学年学生个人心理健康变化，有利于准确掌握学生的心理状况和心理特点，把重点学生名单反馈相关年级。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8</w:t>
      </w:r>
      <w:r>
        <w:rPr>
          <w:rFonts w:hint="eastAsia"/>
          <w:szCs w:val="18"/>
        </w:rPr>
        <w:t>.本学期计划结合学校及学生实际进行</w:t>
      </w:r>
      <w:r>
        <w:rPr>
          <w:rFonts w:hint="eastAsia"/>
          <w:szCs w:val="18"/>
          <w:lang w:val="en-US" w:eastAsia="zh-CN"/>
        </w:rPr>
        <w:t>两次团体辅导和</w:t>
      </w:r>
      <w:r>
        <w:rPr>
          <w:rFonts w:hint="eastAsia"/>
          <w:szCs w:val="18"/>
        </w:rPr>
        <w:t>一次心理健康教育讲座，普及心理健康知识，激励学生关注自身心理健康，形成良好心理品质，让阳光照亮学生心灵。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七</w:t>
      </w:r>
      <w:r>
        <w:rPr>
          <w:rFonts w:hint="eastAsia"/>
          <w:szCs w:val="18"/>
        </w:rPr>
        <w:t>、具体的工作：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九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各年级</w:t>
      </w:r>
      <w:r>
        <w:rPr>
          <w:rFonts w:hint="eastAsia"/>
          <w:szCs w:val="18"/>
          <w:lang w:val="en-US" w:eastAsia="zh-CN"/>
        </w:rPr>
        <w:t>心理健康教育</w:t>
      </w:r>
      <w:r>
        <w:rPr>
          <w:rFonts w:hint="eastAsia"/>
          <w:szCs w:val="18"/>
        </w:rPr>
        <w:t xml:space="preserve">教师制定好本学期的教学计划。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教研组长制定好教研组工作计划。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备课组集备、个备，超前一周备课量。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准备阶段：清扫咨询室、课程设计等</w:t>
      </w:r>
      <w:r>
        <w:rPr>
          <w:rFonts w:hint="eastAsia"/>
          <w:szCs w:val="18"/>
          <w:lang w:val="en-US" w:eastAsia="zh-CN"/>
        </w:rPr>
        <w:t>期初工作检查和整理。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新生心理健康测评准备工作：量表选择、施测安排等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学生心理健康测评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</w:rPr>
        <w:t>心理测评报告：统计数据分析、心理报告等内容的完成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szCs w:val="18"/>
        </w:rPr>
      </w:pPr>
      <w:r>
        <w:rPr>
          <w:rFonts w:hint="eastAsia"/>
          <w:szCs w:val="18"/>
        </w:rPr>
        <w:t>教师培训：如心理危机干预的讲座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default" w:eastAsia="宋体"/>
          <w:color w:val="FF0000"/>
          <w:szCs w:val="18"/>
          <w:lang w:val="en-US" w:eastAsia="zh-CN"/>
        </w:rPr>
      </w:pPr>
      <w:r>
        <w:rPr>
          <w:rFonts w:hint="eastAsia" w:eastAsia="宋体" w:cs="Times New Roman"/>
          <w:szCs w:val="18"/>
        </w:rPr>
        <w:t>3、</w:t>
      </w:r>
      <w:r>
        <w:rPr>
          <w:rFonts w:hint="eastAsia" w:cs="Times New Roman"/>
          <w:szCs w:val="18"/>
          <w:lang w:val="en-US" w:eastAsia="zh-CN"/>
        </w:rPr>
        <w:t>团体辅导：如人际交往的团体辅导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十一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心理学科活动的准备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宋体"/>
          <w:szCs w:val="18"/>
          <w:lang w:eastAsia="zh-CN"/>
        </w:rPr>
      </w:pPr>
      <w:r>
        <w:rPr>
          <w:rFonts w:hint="eastAsia"/>
          <w:szCs w:val="18"/>
        </w:rPr>
        <w:t>心理学科活动的实施、完成、形成留痕资料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十二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default" w:eastAsia="宋体"/>
          <w:lang w:val="en-US" w:eastAsia="zh-CN"/>
        </w:rPr>
      </w:pPr>
      <w:r>
        <w:t>1、</w:t>
      </w:r>
      <w:r>
        <w:rPr>
          <w:rFonts w:hint="eastAsia"/>
        </w:rPr>
        <w:t>学生心理健康</w:t>
      </w:r>
      <w:r>
        <w:rPr>
          <w:rFonts w:hint="eastAsia"/>
          <w:lang w:val="en-US" w:eastAsia="zh-CN"/>
        </w:rPr>
        <w:t>团体辅导：如男生女生大不同。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rPr>
          <w:rFonts w:hint="eastAsia"/>
        </w:rPr>
        <w:t>2、</w:t>
      </w:r>
      <w:r>
        <w:t>本月教学认真检查。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宋体" w:cs="Times New Roman"/>
          <w:szCs w:val="18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3、</w:t>
      </w:r>
      <w:r>
        <w:rPr>
          <w:rFonts w:hint="eastAsia" w:eastAsia="宋体" w:cs="Times New Roman"/>
          <w:szCs w:val="18"/>
        </w:rPr>
        <w:t>了解学生期末复习心态，了解家长对心理健康教育的需求</w:t>
      </w:r>
      <w:r>
        <w:rPr>
          <w:rFonts w:hint="eastAsia" w:cs="Times New Roman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宋体"/>
          <w:szCs w:val="18"/>
          <w:lang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szCs w:val="18"/>
        </w:rPr>
        <w:t>总结本学期心理健康工作，收集资料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东青实验学校</w:t>
      </w:r>
      <w:r>
        <w:rPr>
          <w:rFonts w:hint="eastAsia"/>
          <w:lang w:val="en-US" w:eastAsia="zh-CN"/>
        </w:rPr>
        <w:t>心理健康教育</w:t>
      </w:r>
      <w:r>
        <w:rPr>
          <w:rFonts w:hint="eastAsia"/>
        </w:rPr>
        <w:t>教研组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2022.</w:t>
      </w:r>
      <w:r>
        <w:rPr>
          <w:rFonts w:hint="eastAsia"/>
          <w:lang w:val="en-US" w:eastAsia="zh-CN"/>
        </w:rPr>
        <w:t>9.13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教研活动主讲人</w:t>
      </w:r>
      <w:r>
        <w:rPr>
          <w:rFonts w:hint="eastAsia"/>
        </w:rPr>
        <w:t>安排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教研形式可以公开课、讲座二选一</w:t>
      </w:r>
      <w:r>
        <w:rPr>
          <w:rFonts w:hint="eastAsia"/>
          <w:lang w:eastAsia="zh-CN"/>
        </w:rPr>
        <w:t>）</w:t>
      </w:r>
    </w:p>
    <w:tbl>
      <w:tblPr>
        <w:tblStyle w:val="5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9.1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16：30-17：00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各班级重点学生摸排建档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9.26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重点学生跟踪记录及识别危机信号研讨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10.24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重点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学生危机个案研讨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11.21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考前心理辅导研究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12.26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1.16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会议室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41093"/>
    <w:multiLevelType w:val="multilevel"/>
    <w:tmpl w:val="04241093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1">
    <w:nsid w:val="1B014DE9"/>
    <w:multiLevelType w:val="singleLevel"/>
    <w:tmpl w:val="1B014DE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87D5F82"/>
    <w:multiLevelType w:val="multilevel"/>
    <w:tmpl w:val="387D5F82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YTg4YTBlMDdiY2RkNWEyMWQwZmUxMWJlMGMwNmUifQ=="/>
  </w:docVars>
  <w:rsids>
    <w:rsidRoot w:val="55AD2B33"/>
    <w:rsid w:val="005F037B"/>
    <w:rsid w:val="00BF706B"/>
    <w:rsid w:val="017B11E4"/>
    <w:rsid w:val="01852063"/>
    <w:rsid w:val="04FC263C"/>
    <w:rsid w:val="074B78AB"/>
    <w:rsid w:val="08D12032"/>
    <w:rsid w:val="09C53944"/>
    <w:rsid w:val="0A6D7B38"/>
    <w:rsid w:val="0C1C1816"/>
    <w:rsid w:val="0C631EA5"/>
    <w:rsid w:val="0E4017EB"/>
    <w:rsid w:val="0F67724C"/>
    <w:rsid w:val="0FE268D2"/>
    <w:rsid w:val="100D394F"/>
    <w:rsid w:val="11253B0A"/>
    <w:rsid w:val="120B24D6"/>
    <w:rsid w:val="1230601B"/>
    <w:rsid w:val="12C64289"/>
    <w:rsid w:val="13482EF0"/>
    <w:rsid w:val="14E629C1"/>
    <w:rsid w:val="152B4878"/>
    <w:rsid w:val="157F52EF"/>
    <w:rsid w:val="168D3A3C"/>
    <w:rsid w:val="18AB63FB"/>
    <w:rsid w:val="18D25736"/>
    <w:rsid w:val="19377C8F"/>
    <w:rsid w:val="1AB71D90"/>
    <w:rsid w:val="1B0339AF"/>
    <w:rsid w:val="1E890F8D"/>
    <w:rsid w:val="1F170346"/>
    <w:rsid w:val="1FE3647B"/>
    <w:rsid w:val="20144886"/>
    <w:rsid w:val="22A719E1"/>
    <w:rsid w:val="234F253F"/>
    <w:rsid w:val="27D668C5"/>
    <w:rsid w:val="28814A83"/>
    <w:rsid w:val="2984482A"/>
    <w:rsid w:val="2A904C7B"/>
    <w:rsid w:val="2ACF41CB"/>
    <w:rsid w:val="2D3207A8"/>
    <w:rsid w:val="2E8408BF"/>
    <w:rsid w:val="2F8F4CC0"/>
    <w:rsid w:val="3005299F"/>
    <w:rsid w:val="309F63EE"/>
    <w:rsid w:val="30BA4FD6"/>
    <w:rsid w:val="30EB0C9A"/>
    <w:rsid w:val="311E37B6"/>
    <w:rsid w:val="31336B36"/>
    <w:rsid w:val="32935ADE"/>
    <w:rsid w:val="34E358D4"/>
    <w:rsid w:val="350D0C57"/>
    <w:rsid w:val="35643762"/>
    <w:rsid w:val="35647C06"/>
    <w:rsid w:val="359F29EC"/>
    <w:rsid w:val="372C5141"/>
    <w:rsid w:val="38705E92"/>
    <w:rsid w:val="39B8407C"/>
    <w:rsid w:val="3C236125"/>
    <w:rsid w:val="3C355E58"/>
    <w:rsid w:val="3CE63127"/>
    <w:rsid w:val="41FB36A0"/>
    <w:rsid w:val="420267DC"/>
    <w:rsid w:val="42852AAE"/>
    <w:rsid w:val="43362BE2"/>
    <w:rsid w:val="43CC0E50"/>
    <w:rsid w:val="445D419E"/>
    <w:rsid w:val="44906321"/>
    <w:rsid w:val="45E9583E"/>
    <w:rsid w:val="45EE77A4"/>
    <w:rsid w:val="468F671B"/>
    <w:rsid w:val="478A7058"/>
    <w:rsid w:val="49575660"/>
    <w:rsid w:val="499441BE"/>
    <w:rsid w:val="49D92519"/>
    <w:rsid w:val="4A1452FF"/>
    <w:rsid w:val="4AA423AF"/>
    <w:rsid w:val="4ACF23EC"/>
    <w:rsid w:val="4ADA20A4"/>
    <w:rsid w:val="4B3C4B0D"/>
    <w:rsid w:val="4BFF06FD"/>
    <w:rsid w:val="4C777851"/>
    <w:rsid w:val="4EB64FF2"/>
    <w:rsid w:val="4F5A3042"/>
    <w:rsid w:val="50BA3BA3"/>
    <w:rsid w:val="50C23D07"/>
    <w:rsid w:val="50F33EC0"/>
    <w:rsid w:val="511300BE"/>
    <w:rsid w:val="51B15B29"/>
    <w:rsid w:val="520B5239"/>
    <w:rsid w:val="52636E23"/>
    <w:rsid w:val="540C5299"/>
    <w:rsid w:val="54F77CF7"/>
    <w:rsid w:val="55AD2B33"/>
    <w:rsid w:val="562F4AC6"/>
    <w:rsid w:val="56AF0889"/>
    <w:rsid w:val="56E36785"/>
    <w:rsid w:val="575E5958"/>
    <w:rsid w:val="59CC3500"/>
    <w:rsid w:val="5B4041A6"/>
    <w:rsid w:val="5BE8197E"/>
    <w:rsid w:val="609B00D0"/>
    <w:rsid w:val="60C12FD8"/>
    <w:rsid w:val="66293950"/>
    <w:rsid w:val="663761A5"/>
    <w:rsid w:val="66F916AD"/>
    <w:rsid w:val="670C5884"/>
    <w:rsid w:val="68213433"/>
    <w:rsid w:val="68464DC5"/>
    <w:rsid w:val="6A6E08E5"/>
    <w:rsid w:val="6A7379C8"/>
    <w:rsid w:val="6B6F018F"/>
    <w:rsid w:val="6E327082"/>
    <w:rsid w:val="72FF4A51"/>
    <w:rsid w:val="73010267"/>
    <w:rsid w:val="73442382"/>
    <w:rsid w:val="73F90F3E"/>
    <w:rsid w:val="74212243"/>
    <w:rsid w:val="749F7D37"/>
    <w:rsid w:val="74C90910"/>
    <w:rsid w:val="755A3C5E"/>
    <w:rsid w:val="76DB0DCF"/>
    <w:rsid w:val="784B5AE0"/>
    <w:rsid w:val="7879089F"/>
    <w:rsid w:val="79224A93"/>
    <w:rsid w:val="798E037A"/>
    <w:rsid w:val="7A3E3B4E"/>
    <w:rsid w:val="7AA53BCD"/>
    <w:rsid w:val="7B593740"/>
    <w:rsid w:val="7C5A4544"/>
    <w:rsid w:val="7C945CA8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1443</Characters>
  <Lines>0</Lines>
  <Paragraphs>0</Paragraphs>
  <TotalTime>9</TotalTime>
  <ScaleCrop>false</ScaleCrop>
  <LinksUpToDate>false</LinksUpToDate>
  <CharactersWithSpaces>1446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蒋雨萌</cp:lastModifiedBy>
  <dcterms:modified xsi:type="dcterms:W3CDTF">2023-09-13T00:02:43Z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DACF891D6C964900947E7E2780556C5F_13</vt:lpwstr>
  </property>
</Properties>
</file>