
<file path=[Content_Types].xml><?xml version="1.0" encoding="utf-8"?>
<Types xmlns="http://schemas.openxmlformats.org/package/2006/content-types"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19.6 -->
  <w:body>
    <w:p w:rsidR="00FC5860" w:rsidRPr="00BE1BCD">
      <w:pPr>
        <w:spacing w:line="360" w:lineRule="auto"/>
        <w:jc w:val="center"/>
      </w:pPr>
      <w:r>
        <w:rPr>
          <w:rFonts w:ascii="宋体" w:eastAsia="宋体" w:hAnsi="宋体" w:cs="宋体"/>
          <w:b/>
          <w:color w:val="auto"/>
          <w:sz w:val="32"/>
        </w:rPr>
        <w:drawing>
          <wp:anchor simplePos="0" relativeHeight="251658240" behindDoc="0" locked="0" layoutInCell="1" allowOverlap="1">
            <wp:simplePos x="0" y="0"/>
            <wp:positionH relativeFrom="page">
              <wp:posOffset>10185400</wp:posOffset>
            </wp:positionH>
            <wp:positionV relativeFrom="topMargin">
              <wp:posOffset>11112500</wp:posOffset>
            </wp:positionV>
            <wp:extent cx="482600" cy="330200"/>
            <wp:wrapNone/>
            <wp:docPr id="10003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3741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/>
          <w:b/>
          <w:color w:val="auto"/>
          <w:sz w:val="32"/>
        </w:rPr>
        <w:t>2020—2021学年第一学期期中学业质量监测七年级历史试卷</w:t>
      </w:r>
    </w:p>
    <w:p w:rsidR="00FC5860" w:rsidRPr="00BE1BCD">
      <w:pPr>
        <w:spacing w:line="360" w:lineRule="auto"/>
        <w:jc w:val="center"/>
      </w:pPr>
      <w:r>
        <w:rPr>
          <w:rFonts w:ascii="宋体" w:eastAsia="宋体" w:hAnsi="宋体" w:cs="宋体"/>
          <w:b/>
          <w:color w:val="auto"/>
          <w:sz w:val="24"/>
        </w:rPr>
        <w:t>2020.11</w:t>
      </w:r>
    </w:p>
    <w:p w:rsidR="00FC5860" w:rsidRPr="00BE1BCD">
      <w:pPr>
        <w:spacing w:line="360" w:lineRule="auto"/>
        <w:jc w:val="left"/>
      </w:pPr>
      <w:r>
        <w:rPr>
          <w:rFonts w:ascii="宋体" w:eastAsia="宋体" w:hAnsi="宋体" w:cs="宋体"/>
          <w:b/>
          <w:color w:val="auto"/>
          <w:sz w:val="24"/>
        </w:rPr>
        <w:t>注意事项：</w:t>
      </w:r>
    </w:p>
    <w:p w:rsidR="00FC5860" w:rsidRPr="00BE1BCD">
      <w:pPr>
        <w:spacing w:line="360" w:lineRule="auto"/>
        <w:jc w:val="left"/>
      </w:pPr>
      <w:r>
        <w:rPr>
          <w:rFonts w:ascii="宋体" w:eastAsia="宋体" w:hAnsi="宋体" w:cs="宋体"/>
          <w:b/>
          <w:color w:val="auto"/>
          <w:sz w:val="24"/>
        </w:rPr>
        <w:t>1．本试卷包含选择题部分；非选择题部分。满分50分。考试时间为50分钟。</w:t>
      </w:r>
    </w:p>
    <w:p w:rsidR="00FC5860" w:rsidRPr="00BE1BCD">
      <w:pPr>
        <w:spacing w:line="360" w:lineRule="auto"/>
        <w:jc w:val="left"/>
      </w:pPr>
      <w:r>
        <w:rPr>
          <w:rFonts w:ascii="宋体" w:eastAsia="宋体" w:hAnsi="宋体" w:cs="宋体"/>
          <w:b/>
          <w:color w:val="auto"/>
          <w:sz w:val="24"/>
        </w:rPr>
        <w:t>2．答题前，考生务必将自己的姓名、考点名称、考场号，座位号用0.5毫米黑色墨水签字笔填写在答题卡的相应位置上。</w:t>
      </w:r>
    </w:p>
    <w:p w:rsidR="00FC5860" w:rsidRPr="00BE1BCD">
      <w:pPr>
        <w:spacing w:line="360" w:lineRule="auto"/>
        <w:jc w:val="left"/>
      </w:pPr>
      <w:r>
        <w:rPr>
          <w:rFonts w:ascii="宋体" w:eastAsia="宋体" w:hAnsi="宋体" w:cs="宋体"/>
          <w:b/>
          <w:color w:val="auto"/>
          <w:sz w:val="24"/>
        </w:rPr>
        <w:t>3．答选择题必须用2B铅笔涂在答题卡相对应的位置上。答非选择题须用0.5毫米黑色墨水签字笔书写，并在答题卡上指定的位置答题，不在答题区域内的答案一律无效。</w:t>
      </w:r>
    </w:p>
    <w:p w:rsidR="00FC5860" w:rsidRPr="00BE1BCD">
      <w:pPr>
        <w:spacing w:line="360" w:lineRule="auto"/>
        <w:jc w:val="left"/>
      </w:pPr>
      <w:r>
        <w:rPr>
          <w:rFonts w:ascii="宋体" w:eastAsia="宋体" w:hAnsi="宋体" w:cs="宋体"/>
          <w:b/>
          <w:color w:val="auto"/>
          <w:sz w:val="24"/>
        </w:rPr>
        <w:t>4．考生答题必须在答题卷上，答在试卷和草稿纸上一律无效。</w:t>
      </w:r>
    </w:p>
    <w:p w:rsidR="00FC5860" w:rsidRPr="00BE1BCD">
      <w:pPr>
        <w:spacing w:line="360" w:lineRule="auto"/>
        <w:jc w:val="left"/>
      </w:pPr>
      <w:r>
        <w:rPr>
          <w:rFonts w:ascii="宋体" w:eastAsia="宋体" w:hAnsi="宋体" w:cs="宋体"/>
          <w:b/>
          <w:color w:val="auto"/>
          <w:sz w:val="24"/>
        </w:rPr>
        <w:t>一、选择题：在每小题列出的四个选项中，只有一项是最符合题目要求的（本大题共24小题，每小题1分，共24分）</w:t>
      </w:r>
    </w:p>
    <w:p w:rsidR="00FC5860" w:rsidRPr="00BE1BCD">
      <w:pPr>
        <w:spacing w:line="360" w:lineRule="auto"/>
        <w:jc w:val="left"/>
      </w:pPr>
      <w:r>
        <w:rPr>
          <w:color w:val="auto"/>
        </w:rPr>
        <w:t xml:space="preserve">1. </w:t>
      </w:r>
      <w:r>
        <w:rPr>
          <w:rFonts w:ascii="宋体" w:eastAsia="宋体" w:hAnsi="宋体" w:cs="宋体"/>
          <w:color w:val="auto"/>
        </w:rPr>
        <w:t>北京人遗址是研究远古人类的宝贵资料。图中北京人遗址所在位置是（ )</w:t>
      </w:r>
    </w:p>
    <w:p w:rsidR="00FC5860" w:rsidRPr="00BE1BCD">
      <w:pPr>
        <w:spacing w:line="360" w:lineRule="auto"/>
        <w:jc w:val="left"/>
      </w:pPr>
      <w:r w:rsidRPr="00BE1BCD">
        <w:drawing>
          <wp:inline>
            <wp:extent cx="2105025" cy="1552575"/>
            <wp:docPr id="100003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5063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auto"/>
        </w:rPr>
      </w:pPr>
      <w:r w:rsidRPr="00BE1BCD" w:rsidR="00FC5860">
        <w:t xml:space="preserve">A. </w:t>
      </w:r>
      <w:r>
        <w:rPr>
          <w:rFonts w:ascii="宋体" w:eastAsia="宋体" w:hAnsi="宋体" w:cs="宋体"/>
          <w:color w:val="auto"/>
        </w:rPr>
        <w:t>①</w:t>
      </w:r>
      <w:r w:rsidRPr="00BE1BCD" w:rsidR="00FC5860">
        <w:tab/>
      </w:r>
      <w:r w:rsidRPr="00BE1BCD" w:rsidR="00FC5860">
        <w:t xml:space="preserve">B. </w:t>
      </w:r>
      <w:r>
        <w:rPr>
          <w:rFonts w:ascii="宋体" w:eastAsia="宋体" w:hAnsi="宋体" w:cs="宋体"/>
          <w:color w:val="auto"/>
        </w:rPr>
        <w:t>②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 w:rsidRPr="00BE1BCD" w:rsidR="00FC5860">
        <w:t xml:space="preserve">C. </w:t>
      </w:r>
      <w:r>
        <w:rPr>
          <w:rFonts w:ascii="宋体" w:eastAsia="宋体" w:hAnsi="宋体" w:cs="宋体"/>
          <w:color w:val="auto"/>
        </w:rPr>
        <w:t>③</w:t>
      </w:r>
      <w:r w:rsidRPr="00BE1BCD" w:rsidR="00FC5860">
        <w:tab/>
      </w:r>
      <w:r w:rsidRPr="00BE1BCD" w:rsidR="00FC5860">
        <w:t xml:space="preserve">D. </w:t>
      </w:r>
      <w:r>
        <w:rPr>
          <w:rFonts w:ascii="宋体" w:eastAsia="宋体" w:hAnsi="宋体" w:cs="宋体"/>
          <w:color w:val="auto"/>
        </w:rPr>
        <w:t>④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eastAsia="宋体" w:hAnsi="宋体" w:cs="宋体"/>
          <w:color w:val="000000"/>
        </w:rPr>
        <w:t>参观博物馆是我们学习历史的重要途径。如图是某同学在国家博物馆看到的展品。据此判断，当时生活在这里的远古人类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4572000" cy="1028700"/>
            <wp:docPr id="100005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5387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已有爱美意识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能够人工取火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掌握磨制技术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已会饲养家畜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eastAsia="宋体" w:hAnsi="宋体" w:cs="宋体"/>
          <w:color w:val="000000"/>
        </w:rPr>
        <w:t>《山海经》中写道：蚩尤发兵攻打黄帝，请来风伯雨师，降下很大的风雨。黄帝下令让名叫魃的天女迎战，雨停止了，就杀了蚩尤。这段传说故事描述的是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阪泉之战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涿鹿之战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牧野之战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城濮之战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eastAsia="宋体" w:hAnsi="宋体" w:cs="宋体"/>
          <w:color w:val="000000"/>
        </w:rPr>
        <w:t>“华夏民族，非一族形成。太古以来，诸族错居，接触交通，各去小异而大同，渐化合以成一族之形，后世所谓诸夏是也。”从这段话中可以看出华夏民族（   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发祥地是黄河流域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交通便利，创造了众多的文明成就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由炎帝和黄帝创立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杂居相处，在不断交往中融合而成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eastAsia="宋体" w:hAnsi="宋体" w:cs="宋体"/>
          <w:color w:val="000000"/>
        </w:rPr>
        <w:t>《礼记·礼运》认为，在“天下为公”的“大同”之世之后，社会进入“天下为家”的“小康”之世。中国最早具备以上“小康”之世特征的王朝是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夏朝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商朝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周朝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秦朝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eastAsia="宋体" w:hAnsi="宋体" w:cs="宋体"/>
          <w:color w:val="000000"/>
        </w:rPr>
        <w:t>河南安阳发掘的“妇好墓”（商王武丁夫人墓）中的玉器，经化学成分分析，与新疆和田玉的成分一致。据此，合理的推测是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丝绸之路</w:t>
      </w:r>
      <w:r>
        <w:rPr>
          <w:rFonts w:ascii="宋体" w:eastAsia="宋体" w:hAnsi="宋体" w:cs="宋体"/>
          <w:color w:val="000000"/>
          <w:position w:val="0"/>
        </w:rPr>
        <w:drawing>
          <wp:inline>
            <wp:extent cx="133350" cy="177800"/>
            <wp:docPr id="10003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3852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开辟始于商朝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商朝统治中心远及新疆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中原与西北地区存在联系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中外科技交往历史悠久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eastAsia="宋体" w:hAnsi="宋体" w:cs="宋体"/>
          <w:color w:val="000000"/>
        </w:rPr>
        <w:t>下图是西周青铜器伯卣(you)。商周时期的青铜器不仅种类丰富，数量众多，而且制作工艺高超。上述材料反映出我国商周时期的成就主要体现在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314450" cy="1619250"/>
            <wp:docPr id="100007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1367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铸造业方面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制瓷业方面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造船业方面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纺织业方面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eastAsia="宋体" w:hAnsi="宋体" w:cs="宋体"/>
          <w:color w:val="000000"/>
        </w:rPr>
        <w:t>《三字经&gt;中有云：“始春秋，终战国，五霸强，七雄出。”其中“五霸”中首先称霸的霸主是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齐桓公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秦穆公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楚庄王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越王勾践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eastAsia="宋体" w:hAnsi="宋体" w:cs="宋体"/>
          <w:color w:val="000000"/>
        </w:rPr>
        <w:t>下图出土文物中最能反映出春秋战国时期农业生产技术进步的是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>
            <wp:extent cx="771525" cy="895350"/>
            <wp:docPr id="100009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2865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>
            <wp:extent cx="695325" cy="895350"/>
            <wp:docPr id="100011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5370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color w:val="000000"/>
        </w:rPr>
        <w:drawing>
          <wp:inline>
            <wp:extent cx="1009650" cy="809625"/>
            <wp:docPr id="100013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5785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>
            <wp:extent cx="971550" cy="876300"/>
            <wp:docPr id="100015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428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eastAsia="宋体" w:hAnsi="宋体" w:cs="宋体"/>
          <w:color w:val="000000"/>
        </w:rPr>
        <w:t>吕思勉在《中国的历史》中写道：“从春秋的末期，久已寂寂无闻，入战国的初期，又国多内难。又因为僻处西陲，开化最晚，大家都有些瞧不起他。”“他”是指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楚国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秦国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齐国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魏国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eastAsia="宋体" w:hAnsi="宋体" w:cs="宋体"/>
          <w:color w:val="000000"/>
        </w:rPr>
        <w:t>“汤武之王也，不循古而兴；殷夏之灭也，不易礼而亡。”商鞅说这句话的主要目的是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颂扬汤武功德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批评商朝暴政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强调以礼治国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宣扬变法图强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eastAsia="宋体" w:hAnsi="宋体" w:cs="宋体"/>
          <w:color w:val="000000"/>
        </w:rPr>
        <w:t>下图出土文物“商鞅方升”，可以佐证商鞅变法的哪一项措施（</w:t>
      </w:r>
      <w:r>
        <w:rPr>
          <w:rFonts w:ascii="Calibri" w:eastAsia="Calibri" w:hAnsi="Calibri" w:cs="Calibri"/>
          <w:color w:val="000000"/>
        </w:rPr>
        <w:t xml:space="preserve">   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2095500" cy="647700"/>
            <wp:docPr id="100017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3564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奖励军功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统一度量衡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奖励生产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推行县制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eastAsia="宋体" w:hAnsi="宋体" w:cs="宋体"/>
          <w:color w:val="000000"/>
        </w:rPr>
        <w:t>《战国策》中说：“商君治秦，法令至行，公平无私，罚不讳强大，赏不私亲近。法及太子，黥劓（割鼻）其傅。”据此可知商鞅变法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执法必严，贯彻得力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维护旧贵族利益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讲究策略，缓和矛盾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重视对人民教化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eastAsia="宋体" w:hAnsi="宋体" w:cs="宋体"/>
          <w:color w:val="000000"/>
        </w:rPr>
        <w:t>四川某地二王庙的大殿有一副对联：“六字炳千秋，十四县民命食天，尽是此公赐予；万流归一汇，八百里青城沃野，都从太守得来。”对联中的“此公”主持修建的防洪灌溉工程是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郑国渠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都江堰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灵渠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大运河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eastAsia="宋体" w:hAnsi="宋体" w:cs="宋体"/>
          <w:color w:val="000000"/>
        </w:rPr>
        <w:t>王国维说：“自周之衰，文王、周公势力之瓦解也，国民之智力成熟于内，政治之纷乱乘之于外，上无统一之制度，下迫于社会之要求，于是诸于九流各创其学说。”他意在说明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分封制的崩溃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商鞅变法</w:t>
      </w:r>
      <w:r>
        <w:rPr>
          <w:rFonts w:ascii="宋体" w:eastAsia="宋体" w:hAnsi="宋体" w:cs="宋体"/>
          <w:color w:val="000000"/>
          <w:position w:val="0"/>
        </w:rPr>
        <w:drawing>
          <wp:inline>
            <wp:extent cx="133350" cy="177800"/>
            <wp:docPr id="10003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8475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作用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兼并战争</w:t>
      </w:r>
      <w:r>
        <w:rPr>
          <w:rFonts w:ascii="宋体" w:eastAsia="宋体" w:hAnsi="宋体" w:cs="宋体"/>
          <w:color w:val="000000"/>
          <w:position w:val="0"/>
        </w:rPr>
        <w:drawing>
          <wp:inline>
            <wp:extent cx="133350" cy="177800"/>
            <wp:docPr id="10003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0510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后果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百家争鸣的原因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eastAsia="宋体" w:hAnsi="宋体" w:cs="宋体"/>
          <w:color w:val="000000"/>
        </w:rPr>
        <w:t>“寿虽短，于人于天有益，天入皆择之，皆念之，短亦不短；寿虽长，于人于天无用，天人皆摒弃，倏忽忘之，长亦是短。”从思考问题的方式和蕴含的道理看，讲这段话的可能是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老子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孔子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韩非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墨子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eastAsia="宋体" w:hAnsi="宋体" w:cs="宋体"/>
          <w:color w:val="000000"/>
        </w:rPr>
        <w:t>“晋文公执政后，为振兴工商业公布了执序之法，此后又有晋襄公夷范之法、赵宣子之泫、范宣子刑书，统治者不断地用法的思想来巩固统治。先秦时期实行习惯法，不对大众公布，但是晋国赵鞍执政时期，铸刑书于鼎，公布于世。”对材料所述理解正确的是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法的思想在当时违背历史潮流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习惯法在晋国被彻底废除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法的思想在晋国有悠久的传统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春秋时期的晋国因循守旧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eastAsia="宋体" w:hAnsi="宋体" w:cs="宋体"/>
          <w:color w:val="000000"/>
        </w:rPr>
        <w:t>历史学家夏曾佑在《中国古代史》一书中说：“中国之教，得孔子而后立。中国之政，得秦皇而后行。中国之境，得汉武而后定。三者皆中国之所以为中国也。”其中，“中国之政”主要指的是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禅让制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中央集权制度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井田制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儒教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eastAsia="宋体" w:hAnsi="宋体" w:cs="宋体"/>
          <w:color w:val="000000"/>
        </w:rPr>
        <w:t>秦统一后，在全国统一使用的标准货币是（    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>
            <wp:extent cx="581025" cy="1009650"/>
            <wp:docPr id="100019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3337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>
            <wp:extent cx="847725" cy="914400"/>
            <wp:docPr id="100021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2759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color w:val="000000"/>
        </w:rPr>
        <w:drawing>
          <wp:inline>
            <wp:extent cx="561975" cy="952500"/>
            <wp:docPr id="100023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588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>
            <wp:extent cx="752475" cy="1076325"/>
            <wp:docPr id="100025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7769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eastAsia="宋体" w:hAnsi="宋体" w:cs="宋体"/>
          <w:color w:val="000000"/>
        </w:rPr>
        <w:t>我们获取历史信息，会有“事实的陈述”和“评论意见”。下列不属于“事实的陈述”的是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“及秦之季世，焚诗书，坑术士。”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“秦有陇西、北地、上都，筑长城以拒胡。”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“一法度、衡石、丈尺，车同轨，书同文</w:t>
      </w:r>
      <w:r>
        <w:rPr>
          <w:rFonts w:ascii="宋体" w:eastAsia="宋体" w:hAnsi="宋体" w:cs="宋体"/>
          <w:color w:val="000000"/>
          <w:position w:val="-12"/>
        </w:rPr>
        <w:drawing>
          <wp:inline>
            <wp:extent cx="127000" cy="76200"/>
            <wp:docPr id="10004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1080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”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“（秦皇帝）并吞战国，海内为一，功齐三代。”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color w:val="000000"/>
        </w:rPr>
        <w:t>下列关于秦长城起止点的叙述，正确的是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t>西起嘉峪关，东到鸭绿江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t>西起咸阳，东到辽东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color w:val="000000"/>
        </w:rPr>
        <w:t>西起临洮，东到辽东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t>西起长安，东到山海关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eastAsia="宋体" w:hAnsi="宋体" w:cs="宋体"/>
          <w:color w:val="000000"/>
        </w:rPr>
        <w:t>学习历史，首先要注意时间概念，懂得计算年代；现在世界上通用的是公元纪年，公元纪年把每100年叫做一个“世纪”。历史上，刘邦于公元前202年建立汉朝，时间上应该表述为（   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公元3世纪初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公元前2世纪初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公元前2世纪末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公元前3世纪末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23. </w:t>
      </w:r>
      <w:r>
        <w:rPr>
          <w:rFonts w:ascii="宋体" w:eastAsia="宋体" w:hAnsi="宋体" w:cs="宋体"/>
          <w:color w:val="000000"/>
        </w:rPr>
        <w:t>在中国象棋的棋盘中间，有一段空隙，上面写有“楚河”“汉界”字样，这是象征历史上的“楚汉之争”。这场战争的对阵双方是（   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商封和周武王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夏桀和商汤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秦二世和陈胜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项羽和刘邦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24. </w:t>
      </w:r>
      <w:r>
        <w:rPr>
          <w:rFonts w:ascii="宋体" w:eastAsia="宋体" w:hAnsi="宋体" w:cs="宋体"/>
          <w:color w:val="000000"/>
        </w:rPr>
        <w:t>《汉书·食货志》记载，西汉刚建立时， “民失作业，而大饥馑。凡米石五千，人相食，死者过半。”针对这种状况，汉初统治者实行的措施是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依法治国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休养生息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苛捐杂税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大兴土木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b/>
          <w:color w:val="000000"/>
          <w:sz w:val="24"/>
        </w:rPr>
        <w:t>二、填空题：（本大题共3小题，每小题2分，每空1分，共6分）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25. </w:t>
      </w:r>
      <w:r>
        <w:rPr>
          <w:rFonts w:ascii="宋体" w:eastAsia="宋体" w:hAnsi="宋体" w:cs="宋体"/>
          <w:color w:val="000000"/>
        </w:rPr>
        <w:t>启在</w:t>
      </w:r>
      <w:r>
        <w:rPr>
          <w:color w:val="000000"/>
        </w:rPr>
        <w:t>______</w:t>
      </w:r>
      <w:r>
        <w:rPr>
          <w:rFonts w:ascii="宋体" w:eastAsia="宋体" w:hAnsi="宋体" w:cs="宋体"/>
          <w:color w:val="000000"/>
        </w:rPr>
        <w:t>死后继承了他的位置，世袭制确立。西汉建立后，几代统治者政策得当，推动了经济发展，社会得以安定，出现了中国古代第一个治世局面</w:t>
      </w:r>
      <w:r>
        <w:rPr>
          <w:color w:val="000000"/>
        </w:rPr>
        <w:t>______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26. </w:t>
      </w:r>
      <w:r>
        <w:rPr>
          <w:rFonts w:ascii="宋体" w:eastAsia="宋体" w:hAnsi="宋体" w:cs="宋体"/>
          <w:color w:val="000000"/>
        </w:rPr>
        <w:t>公元前1046年，</w:t>
      </w:r>
      <w:r>
        <w:rPr>
          <w:color w:val="000000"/>
        </w:rPr>
        <w:t>______</w:t>
      </w:r>
      <w:r>
        <w:rPr>
          <w:rFonts w:ascii="宋体" w:eastAsia="宋体" w:hAnsi="宋体" w:cs="宋体"/>
          <w:color w:val="000000"/>
        </w:rPr>
        <w:t>建立周朝，定都镐京，史称西周；公元前</w:t>
      </w:r>
      <w:r>
        <w:rPr>
          <w:color w:val="000000"/>
        </w:rPr>
        <w:t>______</w:t>
      </w:r>
      <w:r>
        <w:rPr>
          <w:rFonts w:ascii="宋体" w:eastAsia="宋体" w:hAnsi="宋体" w:cs="宋体"/>
          <w:color w:val="000000"/>
        </w:rPr>
        <w:t>年，嬴政建立秦朝，定都咸阳。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27. </w:t>
      </w:r>
      <w:r>
        <w:rPr>
          <w:rFonts w:ascii="宋体" w:eastAsia="宋体" w:hAnsi="宋体" w:cs="宋体"/>
          <w:color w:val="000000"/>
        </w:rPr>
        <w:t>我国已发现的古文字中年代最早、体系较为完整是</w:t>
      </w:r>
      <w:r>
        <w:rPr>
          <w:color w:val="000000"/>
        </w:rPr>
        <w:t>______</w:t>
      </w:r>
      <w:r>
        <w:rPr>
          <w:rFonts w:ascii="宋体" w:eastAsia="宋体" w:hAnsi="宋体" w:cs="宋体"/>
          <w:color w:val="000000"/>
        </w:rPr>
        <w:t>；秦朝建立后，以</w:t>
      </w:r>
      <w:r>
        <w:rPr>
          <w:color w:val="000000"/>
        </w:rPr>
        <w:t>______</w:t>
      </w:r>
      <w:r>
        <w:rPr>
          <w:rFonts w:ascii="宋体" w:eastAsia="宋体" w:hAnsi="宋体" w:cs="宋体"/>
          <w:color w:val="000000"/>
        </w:rPr>
        <w:t>作为通用文字颁行全国。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b/>
          <w:color w:val="000000"/>
          <w:sz w:val="24"/>
        </w:rPr>
        <w:t>三、材料解析与问答题：结合材料以及所学知识，根据设问，回答问题（本大题共3小题，28题7分，29题6分，30题7分，共20分）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28. </w:t>
      </w:r>
      <w:r>
        <w:rPr>
          <w:rFonts w:ascii="宋体" w:eastAsia="宋体" w:hAnsi="宋体" w:cs="宋体"/>
          <w:color w:val="000000"/>
        </w:rPr>
        <w:t>虽然有些历史距离我们几千年，但我们可以通过多种途径去研究、感受历史的存在。阅读下列材料：</w:t>
      </w:r>
    </w:p>
    <w:p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材料一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4105275" cy="1285875"/>
            <wp:docPr id="100027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337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材料二  在郭家庄发掘的160号商代墓，出土青铜礼器40件，……器表均有精美的纹饰和族徽文字，还有28件青铜乐器和生产工具，220件青铜兵器和900多枚铜镞，……墓主人可能是地位较高的武将。</w:t>
      </w:r>
    </w:p>
    <w:p>
      <w:pPr>
        <w:spacing w:line="360" w:lineRule="auto"/>
        <w:ind w:firstLine="420"/>
        <w:jc w:val="righ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——《新中国考古五十年》</w:t>
      </w:r>
    </w:p>
    <w:p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材料三 “冉耕，字伯牛。”“司马耕，字子牛。”</w:t>
      </w:r>
    </w:p>
    <w:p>
      <w:pPr>
        <w:spacing w:line="360" w:lineRule="auto"/>
        <w:ind w:firstLine="420"/>
        <w:jc w:val="righ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——司马迁《史记·仲尼弟子传》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完成下列要求：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(1)考古小专家：观察材料一，结合所学知识，简要写出两幅图片中能得到的历史信息。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(2)阅读小能手：据材料二，指出哪些信息可以作为判断墓主人身份的依据？据材料三并结合所学，指出春秋战国时期农业生产领域出现的新现象。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(3)分析小智囊：综上所述，请你说说研究历史的途径有哪些。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29. </w:t>
      </w:r>
      <w:r>
        <w:rPr>
          <w:rFonts w:ascii="宋体" w:eastAsia="宋体" w:hAnsi="宋体" w:cs="宋体"/>
          <w:color w:val="000000"/>
        </w:rPr>
        <w:t>我国历史悠久，疆域辽阔。如何处理中央与地方的关系，是历代帝王都很重视的一个问题。阅读下列材料，回答问题。</w:t>
      </w:r>
    </w:p>
    <w:p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材料一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2409825" cy="2171700"/>
            <wp:docPr id="100029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9089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材料二  平王之时，周室衰微，诸侯强并弱，齐、楚、秦、晋始大，政由方伯。</w:t>
      </w:r>
    </w:p>
    <w:p>
      <w:pPr>
        <w:spacing w:line="360" w:lineRule="auto"/>
        <w:ind w:firstLine="420"/>
        <w:jc w:val="righ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——《史记·周本纪》</w:t>
      </w:r>
    </w:p>
    <w:p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材料三  这位新皇帝开始将早先在本国取得辉煌成功的法家学说应用到全国。他废除了所有封建国家和王国，将广阔的国土划分为若干行政区，每一行政区都配备一批由中央任命，并向政府负责的官员。</w:t>
      </w:r>
    </w:p>
    <w:p>
      <w:pPr>
        <w:spacing w:line="360" w:lineRule="auto"/>
        <w:ind w:firstLine="420"/>
        <w:jc w:val="righ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——摘自斯塔夫里阿诺斯《全球通史》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完成下列要求：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(1)据材料一并结合所学知识，指出西周</w:t>
      </w:r>
      <w:r>
        <w:rPr>
          <w:rFonts w:ascii="宋体" w:eastAsia="宋体" w:hAnsi="宋体" w:cs="宋体"/>
          <w:color w:val="000000"/>
          <w:position w:val="0"/>
        </w:rPr>
        <w:drawing>
          <wp:inline>
            <wp:extent cx="133350" cy="177800"/>
            <wp:docPr id="10003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6843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地方管理制度以及受封对象。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(2)据材料二并结合所学知识，分析东周时期的政治特点。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(3)根据材料三并结合所学知识，指出这位“新皇帝”推行的地方制度，并分析这种地方管理制度较之以前有什么新变化。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30. </w:t>
      </w:r>
      <w:r>
        <w:rPr>
          <w:rFonts w:ascii="宋体" w:eastAsia="宋体" w:hAnsi="宋体" w:cs="宋体"/>
          <w:color w:val="000000"/>
        </w:rPr>
        <w:t>儒家思想作为中国传统文化的主流思想，既是中华民族的精神财富，也是人类文明的重要组成部分。阅读下列材料：</w:t>
      </w:r>
    </w:p>
    <w:p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材料一 作为一个坚定的孔子的信徒……荀子又是诸子中的一个综合者，他批评庄子“蔽于天而不知人”，但同时对于庄子的天论，有很多的吸收，因此发展出“天人之分”的学说。</w:t>
      </w:r>
    </w:p>
    <w:p>
      <w:pPr>
        <w:spacing w:line="360" w:lineRule="auto"/>
        <w:ind w:firstLine="420"/>
        <w:jc w:val="righ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——严文明《中华文明史》（第一卷）</w:t>
      </w:r>
    </w:p>
    <w:p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材料二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5238750" cy="1870067"/>
            <wp:docPr id="622306635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9510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870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材料三 在中华优秀传统文化的大观园中，诸子百家熠熠生辉，儒家思想孕育了我国传统文化中的政治理想和道德准则……法家思想中的变革精神，成为历代进步思想家、政治家改革图治的理论武器。他们共同构造了中华民族传统文化的基本精神，对当时和日后社会的发展，起了巨大的推动作用。</w:t>
      </w:r>
    </w:p>
    <w:p>
      <w:pPr>
        <w:spacing w:line="360" w:lineRule="auto"/>
        <w:ind w:firstLine="420"/>
        <w:jc w:val="righ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——人民日报：《从优秀传统文化中汲取实现中国梦的精神力量》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完成下列要求：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(1)据材料一，概括战国时期儒家思想发展呈现的特点。结合所学知识，指出孔子的核心思想。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(2)材料二儒学的传播轨迹说明了什么？结合孔子学院分布图及所学知识，概述其设立的意义。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(3)据材料三，概括传承诸子百家思想的重要意义。</w:t>
      </w:r>
    </w:p>
    <w:p>
      <w:pPr>
        <w:spacing w:line="360" w:lineRule="auto"/>
        <w:jc w:val="left"/>
        <w:textAlignment w:val="center"/>
        <w:rPr>
          <w:color w:val="000000"/>
        </w:rPr>
        <w:sectPr w:rsidSect="00C321EB"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footerReference w:type="first" r:id="rId28"/>
          <w:pgSz w:w="11906" w:h="16838"/>
          <w:pgMar w:top="910" w:right="1080" w:bottom="1440" w:left="1080" w:header="152" w:footer="0" w:gutter="0"/>
          <w:cols w:space="720"/>
          <w:docGrid w:type="lines" w:linePitch="312"/>
        </w:sectPr>
      </w:pPr>
    </w:p>
    <w:p>
      <w:r>
        <w:rPr>
          <w:color w:val="000000"/>
        </w:rPr>
        <w:drawing>
          <wp:inline>
            <wp:extent cx="6188710" cy="7406488"/>
            <wp:docPr id="100032" name="" descr="promotion-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4453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7406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header="708" w:footer="708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0278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0278E" w:rsidP="0090278E">
    <w:pPr>
      <w:jc w:val="center"/>
    </w:pPr>
    <w:bookmarkStart w:id="0" w:name="_GoBack"/>
    <w:r>
      <w:t>第</w:t>
    </w: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fldChar w:fldCharType="end"/>
    </w:r>
    <w:r>
      <w:t>页</w:t>
    </w:r>
    <w:r>
      <w:t>/</w:t>
    </w:r>
    <w:r>
      <w:t>共</w:t>
    </w:r>
    <w:r>
      <w:fldChar w:fldCharType="begin"/>
    </w:r>
    <w:r>
      <w:instrText>NUMPAGES</w:instrText>
    </w:r>
    <w:r>
      <w:fldChar w:fldCharType="separate"/>
    </w:r>
    <w:r>
      <w:rPr>
        <w:noProof/>
      </w:rPr>
      <w:t>1</w:t>
    </w:r>
    <w:r>
      <w:fldChar w:fldCharType="end"/>
    </w:r>
    <w:r>
      <w:t>页</w:t>
    </w:r>
  </w:p>
  <w:bookmarkEnd w:id="0"/>
  <w:p w:rsidR="0090278E">
    <w:pPr>
      <w:pStyle w:val="Footer"/>
      <w:rPr>
        <w:rFonts w:hint="eastAsia"/>
      </w:rPr>
    </w:pPr>
  </w:p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width:0.05pt;height:0.05pt;margin-top:-20.75pt;margin-left:64.05pt;position:absolute;z-index:251660288" filled="f" stroked="f">
          <v:imagedata r:id="rId1" r:href="rId2" o:title=""/>
          <v:path o:extrusionok="f"/>
          <o:lock v:ext="edit" aspectratio="t"/>
        </v:shape>
      </w:pict>
    </w:r>
    <w:r>
      <w:rPr>
        <w:rFonts w:ascii="Times New Roman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0278E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0278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071D5" w:rsidP="002908F0">
    <w:pPr>
      <w:pStyle w:val="Header"/>
      <w:pBdr>
        <w:bottom w:val="none" w:sz="0" w:space="0" w:color="auto"/>
      </w:pBdr>
    </w:pPr>
    <w:r>
      <w:rPr>
        <w:rFonts w:hint="eastAsia"/>
        <w:noProof/>
      </w:rPr>
      <w:drawing>
        <wp:inline distT="0" distB="0" distL="0" distR="0">
          <wp:extent cx="846388" cy="304800"/>
          <wp:effectExtent l="0" t="0" r="0" b="0"/>
          <wp:docPr id="5" name="图片 5" descr="微信图片_202002191708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9982063" name="图片 1" descr="微信图片_20200219170803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76887" cy="3157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908F0">
      <w:t xml:space="preserve"> </w:t>
    </w:r>
    <w:r w:rsidR="00016BFA">
      <w:t xml:space="preserve"> </w:t>
    </w:r>
    <w:r w:rsidRPr="00567E50" w:rsidR="00567E50">
      <w:rPr>
        <w:noProof/>
      </w:rPr>
      <w:drawing>
        <wp:inline distT="0" distB="0" distL="0" distR="0">
          <wp:extent cx="846000" cy="304788"/>
          <wp:effectExtent l="0" t="0" r="0" b="635"/>
          <wp:docPr id="1" name="图片 1" descr="C:\Users\0\Documents\Tencent Files\804397265\Image\C2C\Image3\$_Z{R_2L8%1DU0RC6ZU7{4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2834889" name="Picture 1" descr="C:\Users\0\Documents\Tencent Files\804397265\Image\C2C\Image3\$_Z{R_2L8%1DU0RC6ZU7{4C.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46000" cy="3047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908F0">
      <w:t xml:space="preserve"> </w:t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ascii="Times New Roman" w:hAnsi="Times New Roman"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9264" filled="f" stroked="f">
          <v:imagedata r:id="rId3" r:href="rId4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0278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06F473A"/>
    <w:multiLevelType w:val="hybridMultilevel"/>
    <w:tmpl w:val="8312AF28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5:chartTrackingRefBased/>
  <w15:docId w15:val="{3CECF8F8-7687-46A9-88C3-C9E50DFD7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 New Romans" w:eastAsia="宋体" w:hAnsi="Time New Romans" w:cs="宋体"/>
        <w:sz w:val="23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har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">
    <w:name w:val="页眉 Char"/>
    <w:basedOn w:val="DefaultParagraphFont"/>
    <w:link w:val="Header"/>
    <w:uiPriority w:val="99"/>
    <w:rsid w:val="003102DB"/>
    <w:rPr>
      <w:kern w:val="2"/>
      <w:sz w:val="18"/>
      <w:szCs w:val="24"/>
    </w:rPr>
  </w:style>
  <w:style w:type="paragraph" w:styleId="NoSpacing">
    <w:name w:val="No Spacing"/>
    <w:uiPriority w:val="1"/>
    <w:qFormat/>
    <w:rsid w:val="003102DB"/>
    <w:rPr>
      <w:rFonts w:eastAsia="Microsoft YaHei UI" w:ascii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596076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EA0188"/>
    <w:pPr>
      <w:ind w:firstLine="420" w:firstLineChars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44"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image" Target="media/image13.png" /><Relationship Id="rId18" Type="http://schemas.openxmlformats.org/officeDocument/2006/relationships/image" Target="media/image14.png" /><Relationship Id="rId19" Type="http://schemas.openxmlformats.org/officeDocument/2006/relationships/image" Target="media/image15.wmf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png" /><Relationship Id="rId22" Type="http://schemas.openxmlformats.org/officeDocument/2006/relationships/image" Target="media/image18.png" /><Relationship Id="rId23" Type="http://schemas.openxmlformats.org/officeDocument/2006/relationships/header" Target="header1.xml" /><Relationship Id="rId24" Type="http://schemas.openxmlformats.org/officeDocument/2006/relationships/header" Target="header2.xml" /><Relationship Id="rId25" Type="http://schemas.openxmlformats.org/officeDocument/2006/relationships/footer" Target="footer1.xml" /><Relationship Id="rId26" Type="http://schemas.openxmlformats.org/officeDocument/2006/relationships/footer" Target="footer2.xml" /><Relationship Id="rId27" Type="http://schemas.openxmlformats.org/officeDocument/2006/relationships/header" Target="header3.xml" /><Relationship Id="rId28" Type="http://schemas.openxmlformats.org/officeDocument/2006/relationships/footer" Target="footer3.xml" /><Relationship Id="rId29" Type="http://schemas.openxmlformats.org/officeDocument/2006/relationships/image" Target="media/image22.jpeg" /><Relationship Id="rId3" Type="http://schemas.openxmlformats.org/officeDocument/2006/relationships/fontTable" Target="fontTable.xml" /><Relationship Id="rId30" Type="http://schemas.openxmlformats.org/officeDocument/2006/relationships/theme" Target="theme/theme1.xml" /><Relationship Id="rId31" Type="http://schemas.openxmlformats.org/officeDocument/2006/relationships/numbering" Target="numbering.xml" /><Relationship Id="rId32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wmf" /><Relationship Id="rId9" Type="http://schemas.openxmlformats.org/officeDocument/2006/relationships/image" Target="media/image5.png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1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9.png" /><Relationship Id="rId2" Type="http://schemas.openxmlformats.org/officeDocument/2006/relationships/image" Target="media/image20.png" /><Relationship Id="rId3" Type="http://schemas.openxmlformats.org/officeDocument/2006/relationships/image" Target="media/image21.png" /><Relationship Id="rId4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90A68-9B32-4A13-894C-0880676F0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0</Characters>
  <Application>Microsoft Office Word</Application>
  <DocSecurity>0</DocSecurity>
  <Lines>0</Lines>
  <Paragraphs>0</Paragraphs>
  <ScaleCrop>false</ScaleCrop>
  <Company>学科网 www.zxxk.com</Company>
  <LinksUpToDate>false</LinksUpToDate>
  <CharactersWithSpaces>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学科网试题生产平台</dc:creator>
  <dc:description>2594895471312896</dc:description>
  <cp:lastModifiedBy>学科网试题生产平台</cp:lastModifiedBy>
  <cp:revision>7</cp:revision>
  <dcterms:created xsi:type="dcterms:W3CDTF">2022-11-28T15:11:31Z</dcterms:created>
  <dcterms:modified xsi:type="dcterms:W3CDTF">2022-11-28T15:11:31Z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