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center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  <w:lang w:val="en-US" w:eastAsia="zh-Hans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  <w:lang w:val="en-US" w:eastAsia="zh-Hans"/>
        </w:rPr>
        <w:t>南塘桥小学数学组教材培训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为响应疫情防控要求，202</w:t>
      </w:r>
      <w:r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年2月</w:t>
      </w:r>
      <w:r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日上午9：00，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  <w:lang w:val="en-US" w:eastAsia="zh-Hans"/>
        </w:rPr>
        <w:t>南塘桥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小学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  <w:lang w:val="en-US" w:eastAsia="zh-Hans"/>
        </w:rPr>
        <w:t>全体数学教师在备课组组长的带领下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通过腾讯会议进行网络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  <w:lang w:val="en-US" w:eastAsia="zh-Hans"/>
        </w:rPr>
        <w:t>教材培训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学习。大家认真参与，即时记录，分享交流。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本次培训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  <w:lang w:val="en-US" w:eastAsia="zh-Hans"/>
        </w:rPr>
        <w:t>分成</w:t>
      </w:r>
      <w:r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  <w:lang w:eastAsia="zh-Hans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  <w:lang w:val="en-US" w:eastAsia="zh-Hans"/>
        </w:rPr>
        <w:t>各主阵地</w:t>
      </w:r>
      <w:r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  <w:lang w:eastAsia="zh-Hans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  <w:lang w:val="en-US" w:eastAsia="zh-Hans"/>
        </w:rPr>
        <w:t>每位培训的专家都是把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每个单元分成教材知识结构梳理、教材知识特点分析、教学建设与思考、典型问题分析、作业设计建议五个部分。先分析主要内容，强调重难点，再结合实际的课例具体分析，帮助教师在整体上把握方向，在细节上注重深化。接着对每单元的典型问题具体分析，并归纳总结整理复习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8" w:space="0"/>
        </w:rPr>
        <w:t>参加学习的教师都感同身受，受益颇深。尤其是第一年教学的教师，收获良多，对教材有了整体的把握，对每单元的典型问题有针对性的方法，对具体的每一课也有了更深刻的理解。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7A464"/>
    <w:rsid w:val="CDF7A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2023-02-24T10:12:00Z</dcterms:created>
  <dc:creator>13605171792</dc:creator>
  <cp:lastModifiedBy>13605171792</cp:lastModifiedBy>
  <dcterms:modified xsi:type="dcterms:W3CDTF">2023-02-24T10:14:25Z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6DB87E678F792707F71CF8632BC11971</vt:lpwstr>
  </property>
</Properties>
</file>