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基于主题意义的小学英语1+X阅读实践研究</w:t>
      </w:r>
      <w:r>
        <w:rPr>
          <w:rFonts w:hint="eastAsia"/>
          <w:b/>
          <w:bCs/>
          <w:sz w:val="32"/>
          <w:szCs w:val="32"/>
        </w:rPr>
        <w:t>》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—20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学年度第二学期课题工作总结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本学期我们课题组</w:t>
      </w:r>
      <w:r>
        <w:rPr>
          <w:rFonts w:hint="eastAsia"/>
          <w:sz w:val="28"/>
          <w:szCs w:val="28"/>
          <w:lang w:val="en-US" w:eastAsia="zh-CN"/>
        </w:rPr>
        <w:t>以主教材为基础，分析梳理了各单元的主题意义，并根据主题将学习材料分类。基于梳理，分别对教材Story time, Checkout time等课型查找融合资源，进行教学实践的尝试。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1、开展常规课题理论学习。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任何行动研究都离不开理论的研究，本学期课题组展开了</w:t>
      </w:r>
      <w:r>
        <w:rPr>
          <w:rFonts w:hint="eastAsia"/>
          <w:sz w:val="28"/>
          <w:szCs w:val="28"/>
          <w:lang w:val="en-US" w:eastAsia="zh-CN"/>
        </w:rPr>
        <w:t>主题意义的深入研究和绘本与主教材融合研究。由课题成员合作查找文献，每周进行理论学习，每月进行读书分享，</w:t>
      </w:r>
      <w:r>
        <w:rPr>
          <w:rFonts w:hint="eastAsia"/>
          <w:b w:val="0"/>
          <w:bCs w:val="0"/>
          <w:sz w:val="28"/>
          <w:szCs w:val="28"/>
        </w:rPr>
        <w:t>进行文献综述的整理，构建理论基础。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2、开展课例研究实践。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本课题</w:t>
      </w:r>
      <w:r>
        <w:rPr>
          <w:rFonts w:hint="eastAsia"/>
          <w:b w:val="0"/>
          <w:bCs w:val="0"/>
          <w:sz w:val="28"/>
          <w:szCs w:val="28"/>
        </w:rPr>
        <w:t>进行了三轮课例研究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</w:rPr>
        <w:t>不仅提高了教师文本解读能力，帮助建立阅读教学模型，还在此过程中提高学生核心素养，真正以学习为中心，为学生而研究，为发展而科研。第一轮时，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本课题</w:t>
      </w:r>
      <w:r>
        <w:rPr>
          <w:rFonts w:hint="eastAsia"/>
          <w:b w:val="0"/>
          <w:bCs w:val="0"/>
          <w:sz w:val="28"/>
          <w:szCs w:val="28"/>
        </w:rPr>
        <w:t>研究了X的内容，补充了与主题强相关的绘本，并基于复习板块课型对应的主题意义升华，改变了绘本素材。经过专家的点评和指导，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本课题</w:t>
      </w:r>
      <w:r>
        <w:rPr>
          <w:rFonts w:hint="eastAsia"/>
          <w:b w:val="0"/>
          <w:bCs w:val="0"/>
          <w:sz w:val="28"/>
          <w:szCs w:val="28"/>
        </w:rPr>
        <w:t>发现，仅关注主题意义而轻视语言学习会变成本末倒置，失去英语课程的初衷。于是在第二轮课例研究时，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本课题</w:t>
      </w:r>
      <w:r>
        <w:rPr>
          <w:rFonts w:hint="eastAsia"/>
          <w:b w:val="0"/>
          <w:bCs w:val="0"/>
          <w:sz w:val="28"/>
          <w:szCs w:val="28"/>
        </w:rPr>
        <w:t>关注了语言的学习，并研究了融合的方式即课题中的“+”，对不同课型的融合方式进行了总结和思考，但对于融合的效果和理由还没有明确的认识。于是在第三轮课例研究时，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本课题</w:t>
      </w:r>
      <w:r>
        <w:rPr>
          <w:rFonts w:hint="eastAsia"/>
          <w:b w:val="0"/>
          <w:bCs w:val="0"/>
          <w:sz w:val="28"/>
          <w:szCs w:val="28"/>
        </w:rPr>
        <w:t>对为什么融合即融合的效果有了进一步的挖掘。通过三轮实践，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课题组成员的理论意识和实践水平</w:t>
      </w:r>
      <w:r>
        <w:rPr>
          <w:rFonts w:hint="eastAsia"/>
          <w:b w:val="0"/>
          <w:bCs w:val="0"/>
          <w:sz w:val="28"/>
          <w:szCs w:val="28"/>
        </w:rPr>
        <w:t>不断提升，对于1+X的融什么、为什么融、怎么融、融效果都有了新的认识。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3、以赛促研显成效。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本学期，</w:t>
      </w:r>
      <w:r>
        <w:rPr>
          <w:rFonts w:hint="eastAsia"/>
          <w:sz w:val="28"/>
          <w:szCs w:val="28"/>
          <w:lang w:val="en-US" w:eastAsia="zh-CN"/>
        </w:rPr>
        <w:t>课题组成员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  <w:lang w:val="en-US" w:eastAsia="zh-CN"/>
        </w:rPr>
        <w:t>四月份区优质课选拔并在</w:t>
      </w:r>
      <w:r>
        <w:rPr>
          <w:rFonts w:hint="eastAsia"/>
          <w:sz w:val="28"/>
          <w:szCs w:val="28"/>
        </w:rPr>
        <w:t>五月份的</w:t>
      </w:r>
      <w:r>
        <w:rPr>
          <w:rFonts w:hint="eastAsia"/>
          <w:sz w:val="28"/>
          <w:szCs w:val="28"/>
          <w:lang w:val="en-US" w:eastAsia="zh-CN"/>
        </w:rPr>
        <w:t>市</w:t>
      </w:r>
      <w:r>
        <w:rPr>
          <w:rFonts w:hint="eastAsia"/>
          <w:sz w:val="28"/>
          <w:szCs w:val="28"/>
        </w:rPr>
        <w:t>青年教师评优课</w:t>
      </w:r>
      <w:r>
        <w:rPr>
          <w:rFonts w:hint="eastAsia"/>
          <w:sz w:val="28"/>
          <w:szCs w:val="28"/>
          <w:lang w:val="en-US" w:eastAsia="zh-CN"/>
        </w:rPr>
        <w:t>中获一等奖</w:t>
      </w:r>
      <w:r>
        <w:rPr>
          <w:rFonts w:hint="eastAsia"/>
          <w:sz w:val="28"/>
          <w:szCs w:val="28"/>
        </w:rPr>
        <w:t>，以此为契机，以课题为研究方向，以研究成果为设计理念，通过比赛展示和检验课题组的实践成效。因此，以赛促研，以赛促练，是本学期的一个工作重点。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4、积极撰写课题论文。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本学期课题组的每位老师都</w:t>
      </w:r>
      <w:r>
        <w:rPr>
          <w:rFonts w:hint="eastAsia"/>
          <w:sz w:val="28"/>
          <w:szCs w:val="28"/>
          <w:lang w:val="en-US" w:eastAsia="zh-CN"/>
        </w:rPr>
        <w:t>在期初</w:t>
      </w:r>
      <w:r>
        <w:rPr>
          <w:rFonts w:hint="eastAsia"/>
          <w:sz w:val="28"/>
          <w:szCs w:val="28"/>
        </w:rPr>
        <w:t>立下了目标：根据自己的研究方向，完成一篇质量较高的论文。</w:t>
      </w:r>
      <w:r>
        <w:rPr>
          <w:rFonts w:hint="eastAsia"/>
          <w:sz w:val="28"/>
          <w:szCs w:val="28"/>
          <w:lang w:val="en-US" w:eastAsia="zh-CN"/>
        </w:rPr>
        <w:t>在学期的努力下，结合教学实践，也有了自己的收获和思考。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今后，我们会继续提升师生的整体课题研究实力，提高全教研组教师的工作力和创造力，提高英语教学质量。</w:t>
      </w:r>
    </w:p>
    <w:p>
      <w:pPr>
        <w:ind w:firstLine="562" w:firstLineChars="200"/>
        <w:rPr>
          <w:rFonts w:hint="eastAsia" w:ascii="宋体" w:hAnsi="宋体"/>
          <w:bCs/>
          <w:sz w:val="36"/>
        </w:rPr>
      </w:pP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、成果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3"/>
        <w:gridCol w:w="1080"/>
        <w:gridCol w:w="1380"/>
        <w:gridCol w:w="5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类型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5721" w:type="dxa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公开课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王姹萍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2022.4.21</w:t>
            </w:r>
          </w:p>
        </w:tc>
        <w:tc>
          <w:tcPr>
            <w:tcW w:w="5721" w:type="dxa"/>
          </w:tcPr>
          <w:p>
            <w:p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五下Unit8 Birthdays第一课时与课外资源融合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continue"/>
            <w:tcBorders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王姹萍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2022.6.6</w:t>
            </w:r>
          </w:p>
        </w:tc>
        <w:tc>
          <w:tcPr>
            <w:tcW w:w="5721" w:type="dxa"/>
          </w:tcPr>
          <w:p>
            <w:pPr>
              <w:jc w:val="left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四下Unit8 How are you? Checkout time与课外资源融合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continue"/>
            <w:tcBorders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戚云子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2022.6.21</w:t>
            </w:r>
          </w:p>
        </w:tc>
        <w:tc>
          <w:tcPr>
            <w:tcW w:w="5721" w:type="dxa"/>
          </w:tcPr>
          <w:p>
            <w:pPr>
              <w:jc w:val="left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五下复习融合绘本Tom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s Special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tcBorders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讲座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王姹萍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2022.4.26</w:t>
            </w:r>
          </w:p>
        </w:tc>
        <w:tc>
          <w:tcPr>
            <w:tcW w:w="5721" w:type="dxa"/>
          </w:tcPr>
          <w:p>
            <w:p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主题意义引领下的1+X阅读教学模式探究</w:t>
            </w:r>
          </w:p>
        </w:tc>
      </w:tr>
    </w:tbl>
    <w:p>
      <w:pPr>
        <w:rPr>
          <w:rFonts w:hint="eastAsia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3"/>
        <w:gridCol w:w="1060"/>
        <w:gridCol w:w="1390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类型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5723" w:type="dxa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获奖类别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评优课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王姹萍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2022.5.11</w:t>
            </w:r>
          </w:p>
        </w:tc>
        <w:tc>
          <w:tcPr>
            <w:tcW w:w="5723" w:type="dxa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常州市小学英语评优课五下Unit8 Birthdays故事板块与课外阅读资源融合教学一等奖</w:t>
            </w: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3"/>
        <w:gridCol w:w="1080"/>
        <w:gridCol w:w="1380"/>
        <w:gridCol w:w="313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类型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获奖/发表刊物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220" w:firstLineChars="100"/>
              <w:jc w:val="both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发表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王姹萍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2022.4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小学英语教学中主题意义的探究策略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《小学教学设计（英语）》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continue"/>
            <w:tcBorders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丁悦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2022.5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主题意义引领下的小学英语单元整体教学策略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待发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获奖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贺迎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2022.6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任务进阶：双镜思维重构大单元整体设计视角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区教海探航一等奖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continue"/>
            <w:tcBorders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张婷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2022.6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“双减”之下，有效提问实现思维培养与绘本阅读共振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区教海探航二等奖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continue"/>
            <w:tcBorders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顾春烂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2022.6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基于主题意义的“1+X”多语篇阅读教育的实践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区教海探航二等奖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3" w:type="dxa"/>
            <w:vMerge w:val="continue"/>
            <w:tcBorders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徐佳佳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2022.6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主题意义下的小学英语“1+X”语法教学实践研究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区教海探航二等奖</w:t>
            </w:r>
          </w:p>
        </w:tc>
      </w:tr>
    </w:tbl>
    <w:p>
      <w:pPr>
        <w:rPr>
          <w:rFonts w:hint="eastAsia"/>
          <w:sz w:val="28"/>
          <w:szCs w:val="28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00000"/>
    <w:rsid w:val="019127B6"/>
    <w:rsid w:val="07FC2953"/>
    <w:rsid w:val="0DB64B7F"/>
    <w:rsid w:val="10F00105"/>
    <w:rsid w:val="164E081E"/>
    <w:rsid w:val="1A703458"/>
    <w:rsid w:val="1AD11A1D"/>
    <w:rsid w:val="1BCB101A"/>
    <w:rsid w:val="1BD73063"/>
    <w:rsid w:val="1E4D585F"/>
    <w:rsid w:val="24DC16EA"/>
    <w:rsid w:val="2AEE0E9A"/>
    <w:rsid w:val="2D265BF9"/>
    <w:rsid w:val="32562ADC"/>
    <w:rsid w:val="325E7BE3"/>
    <w:rsid w:val="335F3C12"/>
    <w:rsid w:val="33B0446E"/>
    <w:rsid w:val="345E3ECA"/>
    <w:rsid w:val="3A960861"/>
    <w:rsid w:val="3B60677A"/>
    <w:rsid w:val="3F6D4D86"/>
    <w:rsid w:val="465C257A"/>
    <w:rsid w:val="4662784A"/>
    <w:rsid w:val="48C22822"/>
    <w:rsid w:val="4B9A4222"/>
    <w:rsid w:val="4EB90223"/>
    <w:rsid w:val="50F11EF6"/>
    <w:rsid w:val="57430FD1"/>
    <w:rsid w:val="595C637A"/>
    <w:rsid w:val="5AB20948"/>
    <w:rsid w:val="6A5F5CCB"/>
    <w:rsid w:val="6FBC771B"/>
    <w:rsid w:val="71D7083C"/>
    <w:rsid w:val="73165394"/>
    <w:rsid w:val="73E62FB9"/>
    <w:rsid w:val="777C4C85"/>
    <w:rsid w:val="78320EC2"/>
    <w:rsid w:val="7B176573"/>
    <w:rsid w:val="7B537186"/>
    <w:rsid w:val="7BE14791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2022-06-27T00:24:50Z</dcterms:created>
  <dc:creator>Cherise Wang</dc:creator>
  <cp:lastModifiedBy>染染染染</cp:lastModifiedBy>
  <dcterms:modified xsi:type="dcterms:W3CDTF">2022-06-27T03:13:26Z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0024C7CF4BED48D3918A148FD5ABB78A</vt:lpwstr>
  </property>
</Properties>
</file>