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2023.6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语文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张娟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98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530"/>
        <w:gridCol w:w="1545"/>
        <w:gridCol w:w="1530"/>
        <w:gridCol w:w="153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056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基础积累与应用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小古文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非连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六（阅读短文）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七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作文）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2056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20"/>
                <w:lang w:val="en-US" w:eastAsia="zh-CN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05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1200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160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240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800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05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1165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139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236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496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05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97.1%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86.9%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98.3%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62%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91.2%</w:t>
            </w: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945"/>
        <w:gridCol w:w="3660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36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60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小古文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86.9%</w:t>
            </w:r>
          </w:p>
        </w:tc>
        <w:tc>
          <w:tcPr>
            <w:tcW w:w="3660" w:type="dxa"/>
            <w:vAlign w:val="top"/>
          </w:tcPr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“清旦衣冠而之市”翻译错误</w:t>
            </w:r>
          </w:p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3607" w:type="dxa"/>
            <w:vAlign w:val="top"/>
          </w:tcPr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对文言文的字词理解能力有待提高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（阅读）17、联系上下文解释词语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54.4%</w:t>
            </w:r>
          </w:p>
        </w:tc>
        <w:tc>
          <w:tcPr>
            <w:tcW w:w="366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抑扬顿挫、自力更生词语解释不清</w:t>
            </w:r>
          </w:p>
        </w:tc>
        <w:tc>
          <w:tcPr>
            <w:tcW w:w="360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未正确理解词语意思，没有联系上下文理解。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（阅读）18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45</w:t>
            </w:r>
            <w:r>
              <w:rPr>
                <w:rFonts w:hint="default" w:ascii="宋体" w:hAnsi="宋体"/>
                <w:color w:val="FF0000"/>
                <w:szCs w:val="21"/>
                <w:lang w:val="en-US" w:eastAsia="zh-CN"/>
              </w:rPr>
              <w:t>%</w:t>
            </w:r>
          </w:p>
        </w:tc>
        <w:tc>
          <w:tcPr>
            <w:tcW w:w="3660" w:type="dxa"/>
            <w:vAlign w:val="top"/>
          </w:tcPr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不能准确概括第三自然段的趣事</w:t>
            </w:r>
          </w:p>
        </w:tc>
        <w:tc>
          <w:tcPr>
            <w:tcW w:w="3607" w:type="dxa"/>
            <w:vAlign w:val="top"/>
          </w:tcPr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对信息的提取概括能力有待提高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（阅读）22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36.7%</w:t>
            </w:r>
          </w:p>
        </w:tc>
        <w:tc>
          <w:tcPr>
            <w:tcW w:w="3660" w:type="dxa"/>
            <w:vAlign w:val="top"/>
          </w:tcPr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对第二自然段的描写内容没有分析理解明白</w:t>
            </w:r>
          </w:p>
        </w:tc>
        <w:tc>
          <w:tcPr>
            <w:tcW w:w="360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未辨析清楚第二自然段的描写作用</w:t>
            </w:r>
          </w:p>
          <w:p>
            <w:pPr>
              <w:numPr>
                <w:ilvl w:val="0"/>
                <w:numId w:val="1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对句子含义理解不到位，答题格式有待加强。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478"/>
        <w:gridCol w:w="833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4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33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72.5%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王朝阳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自控力极差，基础字音字形识记不清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继续与家长合作，增强其学习内驱力</w:t>
            </w:r>
          </w:p>
        </w:tc>
      </w:tr>
    </w:tbl>
    <w:p>
      <w:pPr>
        <w:pStyle w:val="2"/>
        <w:numPr>
          <w:ilvl w:val="0"/>
          <w:numId w:val="2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3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snapToGrid w:val="0"/>
        <w:spacing w:line="360" w:lineRule="auto"/>
        <w:ind w:firstLine="500" w:firstLineChars="250"/>
        <w:rPr>
          <w:rFonts w:hint="default" w:ascii="宋体" w:hAnsi="宋体"/>
          <w:color w:val="000000"/>
          <w:sz w:val="20"/>
          <w:szCs w:val="20"/>
        </w:rPr>
      </w:pPr>
      <w:r>
        <w:rPr>
          <w:rFonts w:hint="default" w:ascii="宋体" w:hAnsi="宋体"/>
          <w:color w:val="000000"/>
          <w:sz w:val="20"/>
          <w:szCs w:val="20"/>
        </w:rPr>
        <w:t>1、夯实基础，加强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多音字、形近字辨析</w:t>
      </w:r>
      <w:r>
        <w:rPr>
          <w:rFonts w:hint="default" w:ascii="宋体" w:hAnsi="宋体"/>
          <w:color w:val="000000"/>
          <w:sz w:val="20"/>
          <w:szCs w:val="20"/>
        </w:rPr>
        <w:t>训练，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做到每天过关。</w:t>
      </w:r>
      <w:r>
        <w:rPr>
          <w:rFonts w:hint="default" w:ascii="宋体" w:hAnsi="宋体"/>
          <w:color w:val="000000"/>
          <w:sz w:val="20"/>
          <w:szCs w:val="20"/>
        </w:rPr>
        <w:t>对班级后进生的基础加强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练习。</w:t>
      </w:r>
    </w:p>
    <w:p>
      <w:pPr>
        <w:snapToGrid w:val="0"/>
        <w:spacing w:line="360" w:lineRule="auto"/>
        <w:ind w:firstLine="500" w:firstLineChars="250"/>
        <w:rPr>
          <w:rFonts w:hint="default" w:ascii="宋体" w:hAnsi="宋体"/>
          <w:color w:val="000000"/>
          <w:sz w:val="20"/>
          <w:szCs w:val="20"/>
        </w:rPr>
      </w:pPr>
      <w:r>
        <w:rPr>
          <w:rFonts w:hint="default" w:ascii="宋体" w:hAnsi="宋体"/>
          <w:color w:val="000000"/>
          <w:sz w:val="20"/>
          <w:szCs w:val="20"/>
        </w:rPr>
        <w:t>2、平时多进行词语积累方面的训练，每周一练，让学生对相似的题型能够举一反三，课文多积累。造句要从生活中找例子。</w:t>
      </w:r>
    </w:p>
    <w:p>
      <w:pPr>
        <w:snapToGrid w:val="0"/>
        <w:spacing w:line="360" w:lineRule="auto"/>
        <w:ind w:firstLine="500" w:firstLineChars="250"/>
        <w:rPr>
          <w:rFonts w:hint="default" w:ascii="宋体" w:hAnsi="宋体"/>
          <w:color w:val="000000"/>
          <w:sz w:val="20"/>
          <w:szCs w:val="20"/>
        </w:rPr>
      </w:pPr>
      <w:r>
        <w:rPr>
          <w:rFonts w:hint="default" w:ascii="宋体" w:hAnsi="宋体"/>
          <w:color w:val="000000"/>
          <w:sz w:val="20"/>
          <w:szCs w:val="20"/>
        </w:rPr>
        <w:t>3、采取一优生带一差生的一帮一行动，主要抓基础字词，学一课抓一课，让双方都加深记忆，共同进步。</w:t>
      </w:r>
    </w:p>
    <w:p>
      <w:pPr>
        <w:snapToGrid w:val="0"/>
        <w:spacing w:line="360" w:lineRule="auto"/>
        <w:ind w:firstLine="500" w:firstLineChars="250"/>
        <w:rPr>
          <w:rFonts w:hint="default" w:ascii="宋体" w:hAnsi="宋体"/>
          <w:color w:val="000000"/>
          <w:sz w:val="20"/>
          <w:szCs w:val="20"/>
        </w:rPr>
      </w:pPr>
      <w:r>
        <w:rPr>
          <w:rFonts w:hint="default" w:ascii="宋体" w:hAnsi="宋体"/>
          <w:color w:val="000000"/>
          <w:sz w:val="20"/>
          <w:szCs w:val="20"/>
        </w:rPr>
        <w:t>4、每天进行固定的阅读任务，做好词句摘抄积累。并加强朗读训练，多读、多看、多思。每周进行阅读训练，从短文大意、答题方式、答题步骤几个方面逐一讲解，训练阅读与写作能力。</w:t>
      </w:r>
    </w:p>
    <w:p>
      <w:pPr>
        <w:rPr>
          <w:b/>
          <w:bCs/>
          <w:sz w:val="22"/>
          <w:szCs w:val="28"/>
        </w:rPr>
      </w:pPr>
    </w:p>
    <w:p>
      <w:pPr>
        <w:rPr>
          <w:b/>
          <w:bCs/>
          <w:sz w:val="22"/>
          <w:szCs w:val="28"/>
        </w:rPr>
      </w:pPr>
    </w:p>
    <w:p>
      <w:pPr>
        <w:numPr>
          <w:ilvl w:val="0"/>
          <w:numId w:val="4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补缺</w:t>
      </w:r>
      <w:r>
        <w:rPr>
          <w:rFonts w:hint="eastAsia"/>
          <w:b/>
          <w:bCs/>
          <w:sz w:val="22"/>
          <w:szCs w:val="28"/>
          <w:lang w:val="en-US" w:eastAsia="zh-CN"/>
        </w:rPr>
        <w:t>策略</w:t>
      </w:r>
    </w:p>
    <w:p>
      <w:pPr>
        <w:numPr>
          <w:ilvl w:val="0"/>
          <w:numId w:val="5"/>
        </w:numPr>
        <w:snapToGrid w:val="0"/>
        <w:spacing w:line="360" w:lineRule="auto"/>
        <w:ind w:firstLine="500" w:firstLineChars="250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default" w:ascii="宋体" w:hAnsi="宋体"/>
          <w:color w:val="000000"/>
          <w:sz w:val="20"/>
          <w:szCs w:val="20"/>
          <w:lang w:val="en-US" w:eastAsia="zh-CN"/>
        </w:rPr>
        <w:t>加强对基础知识的巩固，包括汉字书写、字词积累运用、文体知识、古诗文积累、名著阅读等方面内容。做到温故而知新，而且要及时复习。       </w:t>
      </w:r>
    </w:p>
    <w:p>
      <w:pPr>
        <w:numPr>
          <w:ilvl w:val="0"/>
          <w:numId w:val="5"/>
        </w:numPr>
        <w:snapToGrid w:val="0"/>
        <w:spacing w:line="360" w:lineRule="auto"/>
        <w:ind w:left="0" w:leftChars="0" w:firstLine="500" w:firstLineChars="250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default" w:ascii="宋体" w:hAnsi="宋体"/>
          <w:color w:val="000000"/>
          <w:sz w:val="20"/>
          <w:szCs w:val="20"/>
          <w:lang w:val="en-US" w:eastAsia="zh-CN"/>
        </w:rPr>
        <w:t>引导学生加强语言表达(口头语、书面语)基本功的训练，鼓励学生把话说完整，能准确、顺畅、有创意地表情达意。</w:t>
      </w:r>
    </w:p>
    <w:p>
      <w:pPr>
        <w:numPr>
          <w:ilvl w:val="0"/>
          <w:numId w:val="5"/>
        </w:numPr>
        <w:snapToGrid w:val="0"/>
        <w:spacing w:line="360" w:lineRule="auto"/>
        <w:ind w:left="0" w:leftChars="0" w:firstLine="500" w:firstLineChars="250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default" w:ascii="宋体" w:hAnsi="宋体"/>
          <w:color w:val="000000"/>
          <w:sz w:val="20"/>
          <w:szCs w:val="20"/>
          <w:lang w:val="en-US" w:eastAsia="zh-CN"/>
        </w:rPr>
        <w:t>培养学生的审题能力。在讲解习题时，有意识地要求学生看完题目后，用自己的话讲明题意。经常这样练习，可以提高学生的审题能力。       </w:t>
      </w:r>
    </w:p>
    <w:p>
      <w:pPr>
        <w:numPr>
          <w:numId w:val="0"/>
        </w:numPr>
        <w:snapToGrid w:val="0"/>
        <w:spacing w:line="360" w:lineRule="auto"/>
        <w:ind w:firstLine="400" w:firstLineChars="200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default" w:ascii="宋体" w:hAnsi="宋体"/>
          <w:color w:val="000000"/>
          <w:sz w:val="20"/>
          <w:szCs w:val="20"/>
          <w:lang w:val="en-US" w:eastAsia="zh-CN"/>
        </w:rPr>
        <w:t xml:space="preserve"> 4.加强对后进学生进行个别辅导，做到课堂提问多给机会，课后作业当面指导，练习之后帮助分析错误与问题，定期给予辅导。</w:t>
      </w:r>
    </w:p>
    <w:p>
      <w:pPr>
        <w:snapToGrid w:val="0"/>
        <w:spacing w:line="360" w:lineRule="auto"/>
        <w:ind w:firstLine="600" w:firstLineChars="3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5.</w:t>
      </w:r>
      <w:bookmarkStart w:id="0" w:name="_GoBack"/>
      <w:bookmarkEnd w:id="0"/>
      <w:r>
        <w:rPr>
          <w:rFonts w:hint="default" w:ascii="宋体" w:hAnsi="宋体"/>
          <w:color w:val="000000"/>
          <w:sz w:val="20"/>
          <w:szCs w:val="20"/>
        </w:rPr>
        <w:t>对平时态度不端正的学生加强教育，与家长沟通，让双方都重视该阶段的学习表现，不足的地方家校合作督促改正。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D2DEA4C"/>
    <w:multiLevelType w:val="singleLevel"/>
    <w:tmpl w:val="9D2DEA4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F21296"/>
    <w:multiLevelType w:val="singleLevel"/>
    <w:tmpl w:val="60F21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Dc2MmNiOTlhYTJlNWQwYTZkNDZkMGU3OTQxODQifQ=="/>
    <w:docVar w:name="KSO_WPS_MARK_KEY" w:val="248d723e-01b7-4ca2-b522-a761da03a20b"/>
  </w:docVars>
  <w:rsids>
    <w:rsidRoot w:val="2CBC2FCC"/>
    <w:rsid w:val="029F0CAB"/>
    <w:rsid w:val="040B7A5E"/>
    <w:rsid w:val="06AF5DA4"/>
    <w:rsid w:val="19D454DE"/>
    <w:rsid w:val="1CA532CE"/>
    <w:rsid w:val="2CBC2FCC"/>
    <w:rsid w:val="2CE379BB"/>
    <w:rsid w:val="34324790"/>
    <w:rsid w:val="406215F8"/>
    <w:rsid w:val="41E414AB"/>
    <w:rsid w:val="45FA7BBD"/>
    <w:rsid w:val="4A9459BD"/>
    <w:rsid w:val="4DDD22BE"/>
    <w:rsid w:val="6AA87672"/>
    <w:rsid w:val="6EF54DD6"/>
    <w:rsid w:val="6F9F4170"/>
    <w:rsid w:val="7B6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1015</Characters>
  <Lines>0</Lines>
  <Paragraphs>0</Paragraphs>
  <TotalTime>46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yuki</cp:lastModifiedBy>
  <cp:lastPrinted>2023-02-17T04:05:00Z</cp:lastPrinted>
  <dcterms:modified xsi:type="dcterms:W3CDTF">2023-06-28T02:51:13Z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2D3B0E2755844871B8A5DDA106297DAA_13</vt:lpwstr>
  </property>
</Properties>
</file>