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eastAsia="黑体"/>
          <w:b/>
          <w:sz w:val="24"/>
          <w:szCs w:val="22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 xml:space="preserve">     </w:t>
      </w:r>
      <w:r>
        <w:rPr>
          <w:rFonts w:hint="eastAsia" w:ascii="黑体" w:eastAsia="黑体"/>
          <w:b/>
          <w:sz w:val="32"/>
          <w:szCs w:val="28"/>
        </w:rPr>
        <w:t>龙虎塘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>第二</w:t>
      </w:r>
      <w:r>
        <w:rPr>
          <w:rFonts w:hint="eastAsia" w:ascii="黑体" w:eastAsia="黑体"/>
          <w:b/>
          <w:sz w:val="32"/>
          <w:szCs w:val="28"/>
        </w:rPr>
        <w:t>实验小学</w:t>
      </w:r>
      <w:r>
        <w:rPr>
          <w:rFonts w:hint="eastAsia" w:ascii="黑体" w:eastAsia="黑体"/>
          <w:b/>
          <w:sz w:val="32"/>
          <w:szCs w:val="28"/>
          <w:lang w:eastAsia="zh-CN"/>
        </w:rPr>
        <w:t>学业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>学业质量调研</w:t>
      </w:r>
      <w:r>
        <w:rPr>
          <w:rFonts w:hint="eastAsia" w:ascii="黑体" w:eastAsia="黑体"/>
          <w:b/>
          <w:sz w:val="32"/>
          <w:szCs w:val="28"/>
        </w:rPr>
        <w:t>分析</w:t>
      </w:r>
      <w:r>
        <w:rPr>
          <w:rFonts w:hint="eastAsia" w:ascii="黑体" w:eastAsia="黑体"/>
          <w:b/>
          <w:sz w:val="24"/>
          <w:szCs w:val="22"/>
          <w:lang w:val="en-US" w:eastAsia="zh-CN"/>
        </w:rPr>
        <w:t>2023.6</w:t>
      </w:r>
    </w:p>
    <w:p>
      <w:pPr>
        <w:pStyle w:val="2"/>
        <w:spacing w:before="0" w:after="0" w:line="240" w:lineRule="auto"/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 xml:space="preserve">  五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>年级（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 xml:space="preserve"> 4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）班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  学科：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 xml:space="preserve"> 数学  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任课教师：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eastAsia="zh-CN"/>
        </w:rPr>
        <w:t>章叶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 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一、题型分析</w:t>
      </w:r>
    </w:p>
    <w:p>
      <w:pPr>
        <w:pageBreakBefore w:val="0"/>
        <w:widowControl w:val="0"/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1．</w:t>
      </w:r>
      <w:r>
        <w:rPr>
          <w:rFonts w:ascii="宋体" w:hAnsi="宋体"/>
          <w:b/>
          <w:bCs/>
        </w:rPr>
        <w:t>逐题得分率统计</w:t>
      </w:r>
    </w:p>
    <w:tbl>
      <w:tblPr>
        <w:tblStyle w:val="5"/>
        <w:tblW w:w="97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22"/>
        <w:gridCol w:w="1043"/>
        <w:gridCol w:w="1216"/>
        <w:gridCol w:w="1216"/>
        <w:gridCol w:w="1390"/>
        <w:gridCol w:w="1216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264" w:type="dxa"/>
            <w:vMerge w:val="restart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一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二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三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四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五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六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264" w:type="dxa"/>
            <w:vMerge w:val="continue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 计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="楷体_GB2312" w:eastAsia="楷体_GB2312"/>
                <w:spacing w:val="20"/>
                <w:lang w:val="en-US" w:eastAsia="zh-CN"/>
              </w:rPr>
            </w:pPr>
            <w:r>
              <w:rPr>
                <w:rFonts w:hint="eastAsia" w:ascii="楷体_GB2312" w:eastAsia="楷体_GB2312"/>
                <w:spacing w:val="20"/>
                <w:lang w:val="en-US" w:eastAsia="zh-CN"/>
              </w:rPr>
              <w:t>合计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="楷体_GB2312" w:eastAsia="楷体_GB2312"/>
                <w:spacing w:val="20"/>
                <w:lang w:eastAsia="zh-CN"/>
              </w:rPr>
            </w:pPr>
            <w:r>
              <w:rPr>
                <w:rFonts w:hint="eastAsia" w:ascii="楷体_GB2312" w:eastAsia="楷体_GB2312"/>
                <w:spacing w:val="20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264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应得分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1120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800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160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480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1440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4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实得分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1042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620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118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ind w:firstLine="315" w:firstLineChars="150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309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1209.5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264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得分率（</w:t>
            </w:r>
            <w:r>
              <w:t>%)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theme="minorBidi"/>
                <w:kern w:val="2"/>
                <w:sz w:val="21"/>
                <w:szCs w:val="24"/>
                <w:lang w:val="en-US" w:eastAsia="zh-CN" w:bidi="ar-SA"/>
              </w:rPr>
              <w:t>93.0%%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theme="minorBidi"/>
                <w:kern w:val="2"/>
                <w:sz w:val="21"/>
                <w:szCs w:val="24"/>
                <w:lang w:val="en-US" w:eastAsia="zh-CN" w:bidi="ar-SA"/>
              </w:rPr>
              <w:t>77.5%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theme="minorBidi"/>
                <w:kern w:val="2"/>
                <w:sz w:val="21"/>
                <w:szCs w:val="24"/>
                <w:lang w:val="en-US" w:eastAsia="zh-CN" w:bidi="ar-SA"/>
              </w:rPr>
              <w:t>73.8%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theme="minorBidi"/>
                <w:kern w:val="2"/>
                <w:sz w:val="21"/>
                <w:szCs w:val="24"/>
                <w:lang w:val="en-US" w:eastAsia="zh-CN" w:bidi="ar-SA"/>
              </w:rPr>
              <w:t>64.4%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theme="minorBidi"/>
                <w:kern w:val="2"/>
                <w:sz w:val="21"/>
                <w:szCs w:val="24"/>
                <w:lang w:val="en-US" w:eastAsia="zh-CN" w:bidi="ar-SA"/>
              </w:rPr>
              <w:t>84.0%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</w:tr>
    </w:tbl>
    <w:p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2.典型错误分析</w:t>
      </w:r>
    </w:p>
    <w:tbl>
      <w:tblPr>
        <w:tblStyle w:val="5"/>
        <w:tblpPr w:leftFromText="180" w:rightFromText="180" w:vertAnchor="text" w:horzAnchor="margin" w:tblpX="50" w:tblpY="106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62"/>
        <w:gridCol w:w="4145"/>
        <w:gridCol w:w="3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0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题型</w:t>
            </w:r>
          </w:p>
        </w:tc>
        <w:tc>
          <w:tcPr>
            <w:tcW w:w="106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得分率</w:t>
            </w:r>
          </w:p>
        </w:tc>
        <w:tc>
          <w:tcPr>
            <w:tcW w:w="4145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典型错误</w:t>
            </w:r>
          </w:p>
        </w:tc>
        <w:tc>
          <w:tcPr>
            <w:tcW w:w="3777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错误原因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填空</w:t>
            </w: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82.6%</w:t>
            </w:r>
          </w:p>
        </w:tc>
        <w:tc>
          <w:tcPr>
            <w:tcW w:w="414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2525395" cy="305435"/>
                  <wp:effectExtent l="0" t="0" r="8255" b="18415"/>
                  <wp:docPr id="1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395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不知如何处理“最后都剩5人”；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不知道是在找10和12的最小</w:t>
            </w:r>
            <w:bookmarkStart w:id="0" w:name="_GoBack"/>
            <w:bookmarkEnd w:id="0"/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公倍数。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选择</w:t>
            </w: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72.5%</w:t>
            </w:r>
          </w:p>
        </w:tc>
        <w:tc>
          <w:tcPr>
            <w:tcW w:w="414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2545715" cy="455295"/>
                  <wp:effectExtent l="0" t="0" r="6985" b="1905"/>
                  <wp:docPr id="1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45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对数的奇偶性不敏感，不能灵活运用</w:t>
            </w: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“举例”的方法解决问题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填空</w:t>
            </w: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68.7%</w:t>
            </w:r>
          </w:p>
        </w:tc>
        <w:tc>
          <w:tcPr>
            <w:tcW w:w="414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2499360" cy="394970"/>
                  <wp:effectExtent l="0" t="0" r="15240" b="5080"/>
                  <wp:docPr id="1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对求分率和具体量的不同解法不理解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填空</w:t>
            </w: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71.3%</w:t>
            </w:r>
          </w:p>
        </w:tc>
        <w:tc>
          <w:tcPr>
            <w:tcW w:w="414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2540000" cy="449580"/>
                  <wp:effectExtent l="0" t="0" r="12700" b="7620"/>
                  <wp:docPr id="1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审题不清，理不清量（糖、糖水）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选择</w:t>
            </w: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70%</w:t>
            </w:r>
          </w:p>
        </w:tc>
        <w:tc>
          <w:tcPr>
            <w:tcW w:w="414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2572385" cy="409575"/>
                  <wp:effectExtent l="0" t="0" r="18415" b="9525"/>
                  <wp:docPr id="1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38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对每个具体分数的意义理解不深入，分率和线段图应该产生连接。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填空</w:t>
            </w: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77.5%</w:t>
            </w:r>
          </w:p>
        </w:tc>
        <w:tc>
          <w:tcPr>
            <w:tcW w:w="414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</w:pPr>
            <w:r>
              <w:drawing>
                <wp:inline distT="0" distB="0" distL="114300" distR="114300">
                  <wp:extent cx="2456815" cy="464185"/>
                  <wp:effectExtent l="0" t="0" r="635" b="12065"/>
                  <wp:docPr id="1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把时针当直径</w:t>
            </w: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没有搞清求哪部分面积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填空</w:t>
            </w: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65%</w:t>
            </w:r>
          </w:p>
        </w:tc>
        <w:tc>
          <w:tcPr>
            <w:tcW w:w="414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</w:pPr>
            <w:r>
              <w:drawing>
                <wp:inline distT="0" distB="0" distL="114300" distR="114300">
                  <wp:extent cx="2540635" cy="291465"/>
                  <wp:effectExtent l="0" t="0" r="12065" b="1333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63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没有做过这样的题目，思维灵活度不够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选择</w:t>
            </w: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67.5</w:t>
            </w:r>
          </w:p>
        </w:tc>
        <w:tc>
          <w:tcPr>
            <w:tcW w:w="414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2421255" cy="508635"/>
                  <wp:effectExtent l="0" t="0" r="17145" b="5715"/>
                  <wp:docPr id="1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255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没有根据三角形的面积求出r²，不能灵活转化并计算；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没有在图上标数据的习惯。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操作</w:t>
            </w: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54.7%</w:t>
            </w:r>
          </w:p>
        </w:tc>
        <w:tc>
          <w:tcPr>
            <w:tcW w:w="414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2244090" cy="891540"/>
                  <wp:effectExtent l="0" t="0" r="3810" b="3810"/>
                  <wp:docPr id="2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09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审题不清，思维定势，误以为画整圆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解决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问题</w:t>
            </w: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84.2%</w:t>
            </w:r>
          </w:p>
        </w:tc>
        <w:tc>
          <w:tcPr>
            <w:tcW w:w="414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2498090" cy="741680"/>
                  <wp:effectExtent l="0" t="0" r="16510" b="1270"/>
                  <wp:docPr id="2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09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问题情境理解不清，没有建立圆环模型；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题目给的图形阴影部分不是真正要计算的面积部分；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圆环的面积不熟练，平方的计算……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解决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问题</w:t>
            </w: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52.6%</w:t>
            </w:r>
          </w:p>
        </w:tc>
        <w:tc>
          <w:tcPr>
            <w:tcW w:w="414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2458720" cy="1116330"/>
                  <wp:effectExtent l="0" t="0" r="17780" b="7620"/>
                  <wp:docPr id="22" name="图片 22" descr="%_VAQWR~298}SW7_E8IR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%_VAQWR~298}SW7_E8IRKE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720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不理解折线统计图表达的意思，读图能力有待加强；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最后一问中分钟和小时的转化寻找疑问，速度的计算不熟练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414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</w:pPr>
          </w:p>
        </w:tc>
        <w:tc>
          <w:tcPr>
            <w:tcW w:w="3777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414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</w:pPr>
          </w:p>
        </w:tc>
        <w:tc>
          <w:tcPr>
            <w:tcW w:w="3777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学生分</w:t>
      </w:r>
    </w:p>
    <w:p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hint="default" w:ascii="宋体" w:hAnsi="宋体" w:eastAsiaTheme="minorEastAsia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1</w:t>
      </w:r>
      <w:r>
        <w:rPr>
          <w:rFonts w:hint="eastAsia" w:ascii="宋体" w:hAnsi="宋体"/>
          <w:b/>
          <w:bCs/>
        </w:rPr>
        <w:t>．</w:t>
      </w:r>
      <w:r>
        <w:rPr>
          <w:rFonts w:hint="eastAsia" w:ascii="宋体" w:hAnsi="宋体"/>
          <w:b/>
          <w:bCs/>
          <w:lang w:val="en-US" w:eastAsia="zh-CN"/>
        </w:rPr>
        <w:t>等第分布情况统计</w:t>
      </w:r>
    </w:p>
    <w:tbl>
      <w:tblPr>
        <w:tblStyle w:val="5"/>
        <w:tblpPr w:leftFromText="180" w:rightFromText="180" w:vertAnchor="text" w:horzAnchor="margin" w:tblpX="108" w:tblpY="142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89"/>
        <w:gridCol w:w="589"/>
        <w:gridCol w:w="622"/>
        <w:gridCol w:w="744"/>
        <w:gridCol w:w="567"/>
        <w:gridCol w:w="522"/>
        <w:gridCol w:w="578"/>
        <w:gridCol w:w="511"/>
        <w:gridCol w:w="622"/>
        <w:gridCol w:w="522"/>
        <w:gridCol w:w="745"/>
        <w:gridCol w:w="544"/>
        <w:gridCol w:w="534"/>
        <w:gridCol w:w="466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3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学生人数</w:t>
            </w:r>
          </w:p>
        </w:tc>
        <w:tc>
          <w:tcPr>
            <w:tcW w:w="7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等级</w:t>
            </w:r>
          </w:p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分布</w:t>
            </w:r>
          </w:p>
        </w:tc>
        <w:tc>
          <w:tcPr>
            <w:tcW w:w="5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spacing w:val="-20"/>
                <w:lang w:val="en-US" w:eastAsia="zh-CN"/>
              </w:rPr>
            </w:pPr>
            <w:r>
              <w:rPr>
                <w:rFonts w:hint="eastAsia"/>
                <w:spacing w:val="-20"/>
                <w:lang w:val="en-US" w:eastAsia="zh-CN"/>
              </w:rPr>
              <w:t>A+</w:t>
            </w:r>
          </w:p>
        </w:tc>
        <w:tc>
          <w:tcPr>
            <w:tcW w:w="6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优秀率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B+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57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C+</w:t>
            </w:r>
          </w:p>
        </w:tc>
        <w:tc>
          <w:tcPr>
            <w:tcW w:w="51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6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D+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D</w:t>
            </w:r>
          </w:p>
        </w:tc>
        <w:tc>
          <w:tcPr>
            <w:tcW w:w="745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合格率</w:t>
            </w:r>
          </w:p>
        </w:tc>
        <w:tc>
          <w:tcPr>
            <w:tcW w:w="54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53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466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G</w:t>
            </w:r>
          </w:p>
        </w:tc>
        <w:tc>
          <w:tcPr>
            <w:tcW w:w="71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3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589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44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36.8%</w:t>
            </w:r>
          </w:p>
        </w:tc>
        <w:tc>
          <w:tcPr>
            <w:tcW w:w="567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8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11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45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89.5%</w:t>
            </w:r>
          </w:p>
        </w:tc>
        <w:tc>
          <w:tcPr>
            <w:tcW w:w="544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34" w:type="dxa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66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10.5%</w:t>
            </w:r>
          </w:p>
        </w:tc>
      </w:tr>
    </w:tbl>
    <w:p>
      <w:pPr>
        <w:pStyle w:val="2"/>
        <w:numPr>
          <w:ilvl w:val="0"/>
          <w:numId w:val="0"/>
        </w:numPr>
        <w:spacing w:before="0" w:after="0" w:line="240" w:lineRule="auto"/>
        <w:rPr>
          <w:rFonts w:hint="eastAsia" w:ascii="宋体" w:hAnsi="宋体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before="0" w:after="0" w:line="240" w:lineRule="auto"/>
        <w:rPr>
          <w:rFonts w:hint="eastAsia" w:ascii="宋体" w:hAnsi="宋体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theme="minorBidi"/>
          <w:b/>
          <w:bCs/>
          <w:kern w:val="2"/>
          <w:sz w:val="21"/>
          <w:szCs w:val="24"/>
          <w:lang w:val="en-US" w:eastAsia="zh-CN" w:bidi="ar-SA"/>
        </w:rPr>
        <w:t>2.</w:t>
      </w:r>
      <w:r>
        <w:rPr>
          <w:rFonts w:hint="eastAsia" w:ascii="宋体" w:hAnsi="宋体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学习困难学生及分析</w:t>
      </w:r>
    </w:p>
    <w:tbl>
      <w:tblPr>
        <w:tblStyle w:val="6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5400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540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学习困难原因分析</w:t>
            </w:r>
          </w:p>
        </w:tc>
        <w:tc>
          <w:tcPr>
            <w:tcW w:w="267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后续措施（含心理建设）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洪睿泽</w:t>
            </w:r>
          </w:p>
        </w:tc>
        <w:tc>
          <w:tcPr>
            <w:tcW w:w="54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数学思维不够</w:t>
            </w:r>
          </w:p>
        </w:tc>
        <w:tc>
          <w:tcPr>
            <w:tcW w:w="267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一对一教学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罗子琦</w:t>
            </w:r>
          </w:p>
        </w:tc>
        <w:tc>
          <w:tcPr>
            <w:tcW w:w="54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数学思维不够</w:t>
            </w:r>
          </w:p>
        </w:tc>
        <w:tc>
          <w:tcPr>
            <w:tcW w:w="267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一对一教学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张辰熙</w:t>
            </w:r>
          </w:p>
        </w:tc>
        <w:tc>
          <w:tcPr>
            <w:tcW w:w="54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数学思维不够</w:t>
            </w:r>
          </w:p>
        </w:tc>
        <w:tc>
          <w:tcPr>
            <w:tcW w:w="26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上课多叫发言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王梓</w:t>
            </w:r>
          </w:p>
        </w:tc>
        <w:tc>
          <w:tcPr>
            <w:tcW w:w="54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数学思维不够</w:t>
            </w:r>
          </w:p>
        </w:tc>
        <w:tc>
          <w:tcPr>
            <w:tcW w:w="26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一对一教学</w:t>
            </w:r>
          </w:p>
        </w:tc>
      </w:tr>
    </w:tbl>
    <w:p>
      <w:pPr>
        <w:pStyle w:val="2"/>
        <w:numPr>
          <w:ilvl w:val="0"/>
          <w:numId w:val="1"/>
        </w:numPr>
        <w:spacing w:before="0" w:after="0" w:line="240" w:lineRule="auto"/>
        <w:ind w:left="0" w:leftChars="0" w:firstLine="0" w:firstLineChars="0"/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策略调整</w:t>
      </w:r>
    </w:p>
    <w:p>
      <w:pPr>
        <w:numPr>
          <w:ilvl w:val="0"/>
          <w:numId w:val="2"/>
        </w:num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提优策略</w:t>
      </w:r>
    </w:p>
    <w:p>
      <w:pPr>
        <w:numPr>
          <w:ilvl w:val="0"/>
          <w:numId w:val="3"/>
        </w:num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adjustRightInd w:val="0"/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提高课堂教学质量</w:t>
      </w:r>
    </w:p>
    <w:p>
      <w:pPr>
        <w:numPr>
          <w:ilvl w:val="0"/>
          <w:numId w:val="3"/>
        </w:num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adjustRightInd w:val="0"/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、在课堂上更加重视知识的获得过程。任何一类新知的学习都要力争在第一遍教学中让学生通过操作、实践、探索等活动充分地感知，使他们在经历和体验知识的产生和形成过程中，获取知识、形成能力，而不只是简单的记忆，浅显的理解。如上面的“分数乘法”意义，必须通过多种实例有效地理解与把握。</w:t>
      </w:r>
    </w:p>
    <w:p>
      <w:pPr>
        <w:numPr>
          <w:ilvl w:val="0"/>
          <w:numId w:val="0"/>
        </w:num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adjustRightInd w:val="0"/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、发挥教研组团队力量进行备课，可以弥补教师个体钻研教材能力的不足，从而解疑答惑，准确把握教材。教材的教学内容思维要求高，灵活性强，仅用大量机械重复的训练是不能解决问题的。所以全组要要精选、精编灵活多变的针对性练习、发展性练习、综合性练习，并有意识地对学生进行收集信息、处理信息、分析问题、解决问题的方法和策略指导，培养学生良好的学习方法和习惯。如上面的“百分率”问题。</w:t>
      </w:r>
    </w:p>
    <w:p>
      <w:pPr>
        <w:numPr>
          <w:ilvl w:val="0"/>
          <w:numId w:val="0"/>
        </w:num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adjustRightInd w:val="0"/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adjustRightInd w:val="0"/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二、加强学习习惯和策略的培养。</w:t>
      </w:r>
    </w:p>
    <w:p>
      <w:p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adjustRightInd w:val="0"/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1、通过日常课堂教学、日常练习培养学生良好的审题、答题习惯，如圈出关键信息、度量单位，并进行复杂问题的信息整理，化复杂为简单，化抽象为直观，化未知为已知。</w:t>
      </w:r>
    </w:p>
    <w:p>
      <w:p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adjustRightInd w:val="0"/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2、加强简算的典型、对比专题训练。达到既把握住简算的重点方法，又能通过题组辨析提高简算的拓展能力，每周至少进行一次计算与简算的专项积累。</w:t>
      </w:r>
    </w:p>
    <w:p>
      <w:p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adjustRightInd w:val="0"/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3、重视数学阅读与数学表达这两项素养，提供阅读示范与分析路径。</w:t>
      </w:r>
    </w:p>
    <w:p>
      <w:p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adjustRightInd w:val="0"/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</w:p>
    <w:p>
      <w:p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adjustRightInd w:val="0"/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三、关注学生中的弱势群体。</w:t>
      </w:r>
    </w:p>
    <w:p>
      <w:p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adjustRightInd w:val="0"/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、从“以人为本”的角度出发，做好以下工作：坚持“补心”与补课相结合，与学生多沟通，消除他们的心理障碍；帮助他们形成良好的学习习惯；加强方法指导；严格要求学生，从最基础的知识抓起；努力使每位学生在原有基础上得到最大限度的发展。</w:t>
      </w:r>
    </w:p>
    <w:p>
      <w:p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、培养学生的研究问题能力与自我学习的能力，根源还在于提高学生学习兴趣，尤其是学困生，由于缺乏学习自信心，也无从谈起学习兴趣，更无从谈起自我学习的能力，所以应该从教师、家长、学生三管齐下，教师要指明方向、家长要精神与物质的支持，从细节关注学生的学些过程。</w:t>
      </w:r>
    </w:p>
    <w:p>
      <w:pPr>
        <w:rPr>
          <w:b/>
          <w:bCs/>
          <w:sz w:val="22"/>
          <w:szCs w:val="28"/>
        </w:rPr>
      </w:pPr>
    </w:p>
    <w:p>
      <w:pPr>
        <w:rPr>
          <w:b/>
          <w:bCs/>
          <w:sz w:val="22"/>
          <w:szCs w:val="28"/>
        </w:rPr>
      </w:pPr>
    </w:p>
    <w:p>
      <w:pPr>
        <w:numPr>
          <w:ilvl w:val="0"/>
          <w:numId w:val="4"/>
        </w:numPr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补缺策略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一、思想方面的培优补差。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1.做好学生的思想工作，经常和学生谈心，关心他们，关爱他们，让学生觉得老师是重视他们的，激发他们学习的积极性。了 解学生们的学习态度、学习习惯、学习方法等。从而根据学生的思想心态进行相应的辅导。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二、有效培优补差措施。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利用课余时间，对各种情况的同学进行辅导、提高，“因材施教、对症下药”，根据学生的素质采取相应的方法辅导。具体方法如下: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1.课上差生板演，中等生订正，优等生解决难题。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2.安排座位时坚持“好差同桌”结为学习对子。即“兵教兵”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3.课堂练习分成三个层次:第一层“必做题”基础题，第二层:“选做题”中等题，第三层“思考题”-拓广题。满足不同层次学生的需要。</w:t>
      </w:r>
    </w:p>
    <w:p>
      <w:pPr>
        <w:numPr>
          <w:ilvl w:val="0"/>
          <w:numId w:val="0"/>
        </w:numPr>
        <w:rPr>
          <w:rFonts w:hint="default"/>
          <w:b/>
          <w:bCs/>
          <w:sz w:val="22"/>
          <w:szCs w:val="28"/>
          <w:lang w:val="en-US" w:eastAsia="zh-CN"/>
        </w:rPr>
      </w:pPr>
    </w:p>
    <w:sectPr>
      <w:pgSz w:w="11906" w:h="16838"/>
      <w:pgMar w:top="907" w:right="1134" w:bottom="90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9D436"/>
    <w:multiLevelType w:val="singleLevel"/>
    <w:tmpl w:val="83A9D4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68C394"/>
    <w:multiLevelType w:val="singleLevel"/>
    <w:tmpl w:val="8F68C3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D9F3B4"/>
    <w:multiLevelType w:val="singleLevel"/>
    <w:tmpl w:val="59D9F3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F0A4F76"/>
    <w:multiLevelType w:val="singleLevel"/>
    <w:tmpl w:val="5F0A4F7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MGZjOTFhMGZhZTY3ZmMxNmQ4MzdjZTM3YjQ5YWEifQ=="/>
    <w:docVar w:name="KSO_WPS_MARK_KEY" w:val="248d723e-01b7-4ca2-b522-a761da03a20b"/>
  </w:docVars>
  <w:rsids>
    <w:rsidRoot w:val="2CBC2FCC"/>
    <w:rsid w:val="03062D2F"/>
    <w:rsid w:val="04AB49B5"/>
    <w:rsid w:val="0A71382C"/>
    <w:rsid w:val="0CD14149"/>
    <w:rsid w:val="10692839"/>
    <w:rsid w:val="16FF0CF2"/>
    <w:rsid w:val="183A6390"/>
    <w:rsid w:val="18CC43A4"/>
    <w:rsid w:val="19706CFD"/>
    <w:rsid w:val="1AB95F44"/>
    <w:rsid w:val="1CA532CE"/>
    <w:rsid w:val="21C82220"/>
    <w:rsid w:val="23CE4D4E"/>
    <w:rsid w:val="27EB7CEB"/>
    <w:rsid w:val="297C537E"/>
    <w:rsid w:val="2CBC2FCC"/>
    <w:rsid w:val="354F6F54"/>
    <w:rsid w:val="3EF76D8A"/>
    <w:rsid w:val="406215F8"/>
    <w:rsid w:val="45E50200"/>
    <w:rsid w:val="51D646EA"/>
    <w:rsid w:val="53B96352"/>
    <w:rsid w:val="597E75D6"/>
    <w:rsid w:val="64FD36FC"/>
    <w:rsid w:val="66593009"/>
    <w:rsid w:val="6BD9385B"/>
    <w:rsid w:val="71CF69E7"/>
    <w:rsid w:val="7B4944D8"/>
    <w:rsid w:val="7E023495"/>
    <w:rsid w:val="7E8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1697</Words>
  <Characters>1814</Characters>
  <Lines>0</Lines>
  <Paragraphs>0</Paragraphs>
  <TotalTime>1</TotalTime>
  <ScaleCrop>false</ScaleCrop>
  <LinksUpToDate>false</LinksUpToDate>
  <CharactersWithSpaces>1844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2023-02-16T08:02:00Z</dcterms:created>
  <dc:creator>1</dc:creator>
  <cp:lastModifiedBy>Administrator</cp:lastModifiedBy>
  <cp:lastPrinted>2023-02-17T04:05:00Z</cp:lastPrinted>
  <dcterms:modified xsi:type="dcterms:W3CDTF">2023-06-29T01:25:21Z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FD7BF22FF34C43AC9FC9064A66A0D9B1_13</vt:lpwstr>
  </property>
</Properties>
</file>