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eastAsia="黑体"/>
          <w:b/>
          <w:sz w:val="24"/>
          <w:szCs w:val="22"/>
          <w:lang w:val="en-US" w:eastAsia="zh-CN"/>
        </w:rPr>
      </w:pPr>
      <w:r>
        <w:rPr>
          <w:rFonts w:hint="eastAsia" w:ascii="黑体" w:eastAsia="黑体"/>
          <w:b/>
          <w:sz w:val="32"/>
          <w:szCs w:val="28"/>
          <w:lang w:val="en-US" w:eastAsia="zh-CN"/>
        </w:rPr>
        <w:t xml:space="preserve">     </w:t>
      </w:r>
      <w:r>
        <w:rPr>
          <w:rFonts w:hint="eastAsia" w:ascii="黑体" w:eastAsia="黑体"/>
          <w:b/>
          <w:sz w:val="32"/>
          <w:szCs w:val="28"/>
        </w:rPr>
        <w:t>龙虎塘</w:t>
      </w:r>
      <w:r>
        <w:rPr>
          <w:rFonts w:hint="eastAsia" w:ascii="黑体" w:eastAsia="黑体"/>
          <w:b/>
          <w:sz w:val="32"/>
          <w:szCs w:val="28"/>
          <w:lang w:val="en-US" w:eastAsia="zh-CN"/>
        </w:rPr>
        <w:t>第二</w:t>
      </w:r>
      <w:r>
        <w:rPr>
          <w:rFonts w:hint="eastAsia" w:ascii="黑体" w:eastAsia="黑体"/>
          <w:b/>
          <w:sz w:val="32"/>
          <w:szCs w:val="28"/>
        </w:rPr>
        <w:t>实验小学</w:t>
      </w:r>
      <w:r>
        <w:rPr>
          <w:rFonts w:hint="eastAsia" w:ascii="黑体" w:eastAsia="黑体"/>
          <w:b/>
          <w:sz w:val="32"/>
          <w:szCs w:val="28"/>
          <w:lang w:eastAsia="zh-CN"/>
        </w:rPr>
        <w:t>学业</w:t>
      </w:r>
      <w:r>
        <w:rPr>
          <w:rFonts w:hint="eastAsia" w:ascii="黑体" w:eastAsia="黑体"/>
          <w:b/>
          <w:sz w:val="32"/>
          <w:szCs w:val="28"/>
          <w:lang w:val="en-US" w:eastAsia="zh-CN"/>
        </w:rPr>
        <w:t>学业质量调研</w:t>
      </w:r>
      <w:r>
        <w:rPr>
          <w:rFonts w:hint="eastAsia" w:ascii="黑体" w:eastAsia="黑体"/>
          <w:b/>
          <w:sz w:val="32"/>
          <w:szCs w:val="28"/>
        </w:rPr>
        <w:t>分析</w:t>
      </w:r>
      <w:r>
        <w:rPr>
          <w:rFonts w:hint="eastAsia" w:ascii="黑体" w:eastAsia="黑体"/>
          <w:b/>
          <w:sz w:val="24"/>
          <w:szCs w:val="22"/>
          <w:lang w:val="en-US" w:eastAsia="zh-CN"/>
        </w:rPr>
        <w:t>2023.2</w:t>
      </w:r>
    </w:p>
    <w:p>
      <w:pPr>
        <w:pStyle w:val="2"/>
        <w:spacing w:before="0" w:after="0" w:line="240" w:lineRule="auto"/>
        <w:jc w:val="center"/>
        <w:rPr>
          <w:rFonts w:hint="eastAsia" w:ascii="楷体" w:hAnsi="楷体" w:eastAsia="楷体" w:cs="楷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val="en-US" w:eastAsia="zh-CN"/>
        </w:rPr>
        <w:t xml:space="preserve"> 四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</w:rPr>
        <w:t>年级（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val="en-US" w:eastAsia="zh-CN"/>
        </w:rPr>
        <w:t xml:space="preserve"> 6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</w:rPr>
        <w:t xml:space="preserve"> ）班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 xml:space="preserve">    学科：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val="en-US" w:eastAsia="zh-CN"/>
        </w:rPr>
        <w:t xml:space="preserve">  数学   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 xml:space="preserve">  任课教师：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  <w:lang w:val="en-US" w:eastAsia="zh-CN"/>
        </w:rPr>
        <w:t>朱莹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u w:val="single"/>
        </w:rPr>
        <w:t xml:space="preserve">   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一、题型分析</w:t>
      </w:r>
    </w:p>
    <w:p>
      <w:pPr>
        <w:pageBreakBefore w:val="0"/>
        <w:widowControl w:val="0"/>
        <w:tabs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1．</w:t>
      </w:r>
      <w:r>
        <w:rPr>
          <w:rFonts w:ascii="宋体" w:hAnsi="宋体"/>
          <w:b/>
          <w:bCs/>
        </w:rPr>
        <w:t>逐题得分率统计</w:t>
      </w:r>
    </w:p>
    <w:tbl>
      <w:tblPr>
        <w:tblStyle w:val="5"/>
        <w:tblW w:w="856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222"/>
        <w:gridCol w:w="1043"/>
        <w:gridCol w:w="1216"/>
        <w:gridCol w:w="1216"/>
        <w:gridCol w:w="1390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264" w:type="dxa"/>
            <w:vMerge w:val="restart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题号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一</w:t>
            </w:r>
          </w:p>
        </w:tc>
        <w:tc>
          <w:tcPr>
            <w:tcW w:w="1043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二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三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四</w:t>
            </w:r>
          </w:p>
        </w:tc>
        <w:tc>
          <w:tcPr>
            <w:tcW w:w="139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五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="楷体_GB2312" w:eastAsia="楷体_GB2312"/>
                <w:lang w:eastAsia="zh-CN"/>
              </w:rPr>
            </w:pPr>
            <w:r>
              <w:rPr>
                <w:rFonts w:hint="eastAsia" w:ascii="楷体_GB2312" w:eastAsia="楷体_GB2312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264" w:type="dxa"/>
            <w:vMerge w:val="continue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</w:p>
        </w:tc>
        <w:tc>
          <w:tcPr>
            <w:tcW w:w="1222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hint="eastAsia" w:ascii="楷体_GB2312" w:eastAsia="楷体_GB2312"/>
                <w:spacing w:val="20"/>
              </w:rPr>
              <w:t>合 计</w:t>
            </w:r>
          </w:p>
        </w:tc>
        <w:tc>
          <w:tcPr>
            <w:tcW w:w="1043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hint="eastAsia" w:ascii="楷体_GB2312" w:eastAsia="楷体_GB2312"/>
                <w:spacing w:val="20"/>
              </w:rPr>
              <w:t>合计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hint="eastAsia" w:ascii="楷体_GB2312" w:eastAsia="楷体_GB2312"/>
                <w:spacing w:val="20"/>
              </w:rPr>
              <w:t>合计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hint="eastAsia" w:ascii="楷体_GB2312" w:eastAsia="楷体_GB2312"/>
                <w:spacing w:val="20"/>
              </w:rPr>
              <w:t>合计</w:t>
            </w:r>
          </w:p>
        </w:tc>
        <w:tc>
          <w:tcPr>
            <w:tcW w:w="139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hint="eastAsia" w:ascii="楷体_GB2312" w:eastAsia="楷体_GB2312"/>
                <w:spacing w:val="20"/>
              </w:rPr>
              <w:t>合计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="楷体_GB2312" w:eastAsia="楷体_GB2312"/>
                <w:spacing w:val="20"/>
                <w:lang w:eastAsia="zh-CN"/>
              </w:rPr>
            </w:pPr>
            <w:r>
              <w:rPr>
                <w:rFonts w:hint="eastAsia" w:ascii="楷体_GB2312" w:eastAsia="楷体_GB2312"/>
                <w:spacing w:val="20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1264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应得分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1394</w:t>
            </w:r>
          </w:p>
        </w:tc>
        <w:tc>
          <w:tcPr>
            <w:tcW w:w="1043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1189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246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328</w:t>
            </w:r>
          </w:p>
        </w:tc>
        <w:tc>
          <w:tcPr>
            <w:tcW w:w="139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943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1264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实得分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1263</w:t>
            </w:r>
          </w:p>
        </w:tc>
        <w:tc>
          <w:tcPr>
            <w:tcW w:w="1043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967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193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ind w:firstLine="315" w:firstLineChars="150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296</w:t>
            </w:r>
          </w:p>
        </w:tc>
        <w:tc>
          <w:tcPr>
            <w:tcW w:w="139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792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264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得分率（</w:t>
            </w:r>
            <w:r>
              <w:t>%)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90.60%</w:t>
            </w:r>
          </w:p>
        </w:tc>
        <w:tc>
          <w:tcPr>
            <w:tcW w:w="1043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81.33%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78.46%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90.24%</w:t>
            </w:r>
          </w:p>
        </w:tc>
        <w:tc>
          <w:tcPr>
            <w:tcW w:w="1390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83.99%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</w:p>
        </w:tc>
      </w:tr>
    </w:tbl>
    <w:p>
      <w:pPr>
        <w:tabs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jc w:val="left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  <w:lang w:val="en-US" w:eastAsia="zh-CN"/>
        </w:rPr>
        <w:t>2.典型错误分析</w:t>
      </w:r>
    </w:p>
    <w:tbl>
      <w:tblPr>
        <w:tblStyle w:val="5"/>
        <w:tblpPr w:leftFromText="180" w:rightFromText="180" w:vertAnchor="text" w:horzAnchor="margin" w:tblpX="50" w:tblpY="106"/>
        <w:tblW w:w="9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776"/>
        <w:gridCol w:w="4872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6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题型</w:t>
            </w:r>
          </w:p>
        </w:tc>
        <w:tc>
          <w:tcPr>
            <w:tcW w:w="776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得分率</w:t>
            </w:r>
          </w:p>
        </w:tc>
        <w:tc>
          <w:tcPr>
            <w:tcW w:w="4872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ind w:firstLine="420" w:firstLineChars="2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典型错误</w:t>
            </w:r>
          </w:p>
        </w:tc>
        <w:tc>
          <w:tcPr>
            <w:tcW w:w="3050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ind w:firstLine="420" w:firstLineChars="2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错误原因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46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简便计算</w:t>
            </w:r>
          </w:p>
        </w:tc>
        <w:tc>
          <w:tcPr>
            <w:tcW w:w="776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48.78%</w:t>
            </w:r>
          </w:p>
        </w:tc>
        <w:tc>
          <w:tcPr>
            <w:tcW w:w="4872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drawing>
                <wp:inline distT="0" distB="0" distL="114300" distR="114300">
                  <wp:extent cx="1651000" cy="1835785"/>
                  <wp:effectExtent l="0" t="0" r="10160" b="8255"/>
                  <wp:docPr id="5" name="图片 4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0403" r="53593" b="276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83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简便计算，平时也练习了很多，看到25就要想到4,25×4=100。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个别学生只想到凑整十数，有的学生错在把48错误的拆成40+4、还有的拆成40+8这，计算25×8，而25×8是在25×4的基础上简算的，因此也不够简便不够简便。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146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选择</w:t>
            </w:r>
          </w:p>
        </w:tc>
        <w:tc>
          <w:tcPr>
            <w:tcW w:w="776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58.54%</w:t>
            </w:r>
          </w:p>
        </w:tc>
        <w:tc>
          <w:tcPr>
            <w:tcW w:w="4872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drawing>
                <wp:inline distT="0" distB="0" distL="114300" distR="114300">
                  <wp:extent cx="2265045" cy="635635"/>
                  <wp:effectExtent l="0" t="0" r="5715" b="4445"/>
                  <wp:docPr id="6" name="图片 5" descr="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8636" r="37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045" cy="63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这道题第二问形式新颖，将竖式计算的算理和运算律相合，其实不管是几位数乘几位数，不管是竖式计算还是横式计算，都可以运用乘法分配律，体现了算理的一致性。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46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选择</w:t>
            </w:r>
          </w:p>
        </w:tc>
        <w:tc>
          <w:tcPr>
            <w:tcW w:w="776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73.17%</w:t>
            </w:r>
          </w:p>
        </w:tc>
        <w:tc>
          <w:tcPr>
            <w:tcW w:w="4872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drawing>
                <wp:inline distT="0" distB="0" distL="114300" distR="114300">
                  <wp:extent cx="509270" cy="2393950"/>
                  <wp:effectExtent l="0" t="0" r="13970" b="8890"/>
                  <wp:docPr id="3" name="图片 1" descr="1365BCDDF208499E71BFCD6395CB48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1365BCDDF208499E71BFCD6395CB484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09270" cy="239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部分学生没有注意到箭头指向端点左边一点，没有理解题目的意思是要找出选项中比91万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小且最接近91万的数；大部分出错的学生没有把选项中的数分级，做题习惯较差。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46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选择</w:t>
            </w:r>
          </w:p>
        </w:tc>
        <w:tc>
          <w:tcPr>
            <w:tcW w:w="776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75.61%</w:t>
            </w:r>
          </w:p>
        </w:tc>
        <w:tc>
          <w:tcPr>
            <w:tcW w:w="4872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drawing>
                <wp:inline distT="0" distB="0" distL="114300" distR="114300">
                  <wp:extent cx="537210" cy="3018155"/>
                  <wp:effectExtent l="0" t="0" r="14605" b="11430"/>
                  <wp:docPr id="4" name="图片 3" descr="9423238CF95F7D11A2110FAF46D748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9423238CF95F7D11A2110FAF46D748C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37210" cy="301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部分学生没有理解题目的思，不知道三角形具有稳定性，有稳定、坚定、耐压的特点，以为是使用一根木条将原来的长方形分成两个长方形。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46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填空</w:t>
            </w:r>
          </w:p>
        </w:tc>
        <w:tc>
          <w:tcPr>
            <w:tcW w:w="776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41.46%</w:t>
            </w:r>
          </w:p>
        </w:tc>
        <w:tc>
          <w:tcPr>
            <w:tcW w:w="4872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drawing>
                <wp:inline distT="0" distB="0" distL="114300" distR="114300">
                  <wp:extent cx="2570480" cy="392430"/>
                  <wp:effectExtent l="0" t="0" r="5080" b="381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480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default" w:ascii="宋体" w:hAnsi="宋体" w:eastAsiaTheme="minorEastAsia"/>
                <w:szCs w:val="21"/>
                <w:lang w:val="en-US" w:eastAsia="zh-CN"/>
              </w:rPr>
              <w:t>这道题的前后两空是有联的，部分同学没有仔细读题，忽略了这个联系，这是一个等腰三角形也是一个锐角三角形，如果学生没有根据第一问去画一画图，分析出腰比底长，那么5和8谁是腰、谁是底就存在猜的成分，较难做对。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46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填空</w:t>
            </w:r>
          </w:p>
        </w:tc>
        <w:tc>
          <w:tcPr>
            <w:tcW w:w="776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29.27%</w:t>
            </w:r>
          </w:p>
        </w:tc>
        <w:tc>
          <w:tcPr>
            <w:tcW w:w="4872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drawing>
                <wp:inline distT="0" distB="0" distL="114300" distR="114300">
                  <wp:extent cx="2621280" cy="414655"/>
                  <wp:effectExtent l="0" t="0" r="0" b="1206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28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遇问题中的往返问题，学生练习的不算多，要能够独立想象、分析两人的运动轨迹与桥长的关系还是有难度的，第一次相遇是一座桥的长度，两人到两端是两座桥的长度，而第二次相遇已经是三座桥的长度，像这样的题目也带着分析过，后续还是要有针对性的多练习。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46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填空</w:t>
            </w:r>
          </w:p>
        </w:tc>
        <w:tc>
          <w:tcPr>
            <w:tcW w:w="776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56.91%</w:t>
            </w:r>
          </w:p>
        </w:tc>
        <w:tc>
          <w:tcPr>
            <w:tcW w:w="4872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drawing>
                <wp:inline distT="0" distB="0" distL="114300" distR="114300">
                  <wp:extent cx="3228975" cy="1011555"/>
                  <wp:effectExtent l="0" t="0" r="1905" b="9525"/>
                  <wp:docPr id="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50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975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这是学习等边三角形时教材中的折纸活动，当时有让学生动手操作，但是这样操作以后，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能把操作过程和理论相结合的还是很少，学生对于为什么要这样折，翻折、对折的过程能分析出什么还是依靠老师或是好学生讲解，大多数学生只留下了一个浅浅的印象。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46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解决问题</w:t>
            </w:r>
          </w:p>
        </w:tc>
        <w:tc>
          <w:tcPr>
            <w:tcW w:w="776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59.51%</w:t>
            </w:r>
          </w:p>
        </w:tc>
        <w:tc>
          <w:tcPr>
            <w:tcW w:w="4872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</w:pPr>
            <w:r>
              <w:drawing>
                <wp:inline distT="0" distB="0" distL="114300" distR="114300">
                  <wp:extent cx="3442335" cy="979170"/>
                  <wp:effectExtent l="0" t="0" r="1905" b="11430"/>
                  <wp:docPr id="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335" cy="97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</w:tcPr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像这样有难度的题可以先根据已知条件画图帮助理解题意，学生对于不熟悉的题目，画图的意识和能力都有所欠缺，难以在变中寻找不变量，打开解题的思路。</w:t>
            </w:r>
          </w:p>
          <w:p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学生分析</w:t>
      </w:r>
    </w:p>
    <w:p>
      <w:pPr>
        <w:tabs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jc w:val="left"/>
        <w:rPr>
          <w:rFonts w:hint="default" w:ascii="宋体" w:hAnsi="宋体" w:eastAsiaTheme="minorEastAsia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1</w:t>
      </w:r>
      <w:r>
        <w:rPr>
          <w:rFonts w:hint="eastAsia" w:ascii="宋体" w:hAnsi="宋体"/>
          <w:b/>
          <w:bCs/>
        </w:rPr>
        <w:t>．</w:t>
      </w:r>
      <w:r>
        <w:rPr>
          <w:rFonts w:hint="eastAsia" w:ascii="宋体" w:hAnsi="宋体"/>
          <w:b/>
          <w:bCs/>
          <w:lang w:val="en-US" w:eastAsia="zh-CN"/>
        </w:rPr>
        <w:t>等第分布情况统计</w:t>
      </w:r>
    </w:p>
    <w:tbl>
      <w:tblPr>
        <w:tblStyle w:val="5"/>
        <w:tblpPr w:leftFromText="180" w:rightFromText="180" w:vertAnchor="text" w:horzAnchor="margin" w:tblpX="108" w:tblpY="142"/>
        <w:tblW w:w="9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789"/>
        <w:gridCol w:w="593"/>
        <w:gridCol w:w="618"/>
        <w:gridCol w:w="744"/>
        <w:gridCol w:w="567"/>
        <w:gridCol w:w="522"/>
        <w:gridCol w:w="578"/>
        <w:gridCol w:w="511"/>
        <w:gridCol w:w="622"/>
        <w:gridCol w:w="522"/>
        <w:gridCol w:w="745"/>
        <w:gridCol w:w="544"/>
        <w:gridCol w:w="534"/>
        <w:gridCol w:w="408"/>
        <w:gridCol w:w="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31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学生人数</w:t>
            </w:r>
          </w:p>
        </w:tc>
        <w:tc>
          <w:tcPr>
            <w:tcW w:w="789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等级</w:t>
            </w:r>
          </w:p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分布</w:t>
            </w:r>
          </w:p>
        </w:tc>
        <w:tc>
          <w:tcPr>
            <w:tcW w:w="593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spacing w:val="-20"/>
                <w:lang w:val="en-US" w:eastAsia="zh-CN"/>
              </w:rPr>
            </w:pPr>
            <w:r>
              <w:rPr>
                <w:rFonts w:hint="eastAsia"/>
                <w:spacing w:val="-20"/>
                <w:lang w:val="en-US" w:eastAsia="zh-CN"/>
              </w:rPr>
              <w:t>A+</w:t>
            </w:r>
          </w:p>
        </w:tc>
        <w:tc>
          <w:tcPr>
            <w:tcW w:w="618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744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优秀率</w:t>
            </w:r>
          </w:p>
        </w:tc>
        <w:tc>
          <w:tcPr>
            <w:tcW w:w="567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B+</w:t>
            </w:r>
          </w:p>
        </w:tc>
        <w:tc>
          <w:tcPr>
            <w:tcW w:w="522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578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C+</w:t>
            </w:r>
          </w:p>
        </w:tc>
        <w:tc>
          <w:tcPr>
            <w:tcW w:w="511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622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D+</w:t>
            </w:r>
          </w:p>
        </w:tc>
        <w:tc>
          <w:tcPr>
            <w:tcW w:w="522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D</w:t>
            </w:r>
          </w:p>
        </w:tc>
        <w:tc>
          <w:tcPr>
            <w:tcW w:w="745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合格率</w:t>
            </w:r>
          </w:p>
        </w:tc>
        <w:tc>
          <w:tcPr>
            <w:tcW w:w="544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</w:t>
            </w:r>
          </w:p>
        </w:tc>
        <w:tc>
          <w:tcPr>
            <w:tcW w:w="534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F</w:t>
            </w:r>
          </w:p>
        </w:tc>
        <w:tc>
          <w:tcPr>
            <w:tcW w:w="408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G</w:t>
            </w:r>
          </w:p>
        </w:tc>
        <w:tc>
          <w:tcPr>
            <w:tcW w:w="769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1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789" w:type="dxa"/>
            <w:vAlign w:val="center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593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18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744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48.78%</w:t>
            </w:r>
          </w:p>
        </w:tc>
        <w:tc>
          <w:tcPr>
            <w:tcW w:w="567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22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78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11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22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22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5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92.68%</w:t>
            </w:r>
          </w:p>
        </w:tc>
        <w:tc>
          <w:tcPr>
            <w:tcW w:w="544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34" w:type="dxa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8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69" w:type="dxa"/>
          </w:tcPr>
          <w:p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</w:pPr>
            <w:r>
              <w:rPr>
                <w:rFonts w:hint="eastAsia"/>
                <w:lang w:val="en-US" w:eastAsia="zh-CN"/>
              </w:rPr>
              <w:t>7.32%</w:t>
            </w:r>
          </w:p>
        </w:tc>
      </w:tr>
    </w:tbl>
    <w:p>
      <w:pPr>
        <w:pStyle w:val="2"/>
        <w:numPr>
          <w:ilvl w:val="0"/>
          <w:numId w:val="0"/>
        </w:numPr>
        <w:spacing w:before="0" w:after="0" w:line="240" w:lineRule="auto"/>
        <w:rPr>
          <w:rFonts w:hint="eastAsia" w:ascii="宋体" w:hAnsi="宋体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pStyle w:val="2"/>
        <w:numPr>
          <w:ilvl w:val="0"/>
          <w:numId w:val="0"/>
        </w:numPr>
        <w:spacing w:before="0" w:after="0" w:line="240" w:lineRule="auto"/>
        <w:rPr>
          <w:rFonts w:hint="eastAsia" w:ascii="宋体" w:hAnsi="宋体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cstheme="minorBidi"/>
          <w:b/>
          <w:bCs/>
          <w:kern w:val="2"/>
          <w:sz w:val="21"/>
          <w:szCs w:val="24"/>
          <w:lang w:val="en-US" w:eastAsia="zh-CN" w:bidi="ar-SA"/>
        </w:rPr>
        <w:t>2.</w:t>
      </w:r>
      <w:r>
        <w:rPr>
          <w:rFonts w:hint="eastAsia" w:ascii="宋体" w:hAnsi="宋体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学习困难学生及分析</w:t>
      </w:r>
    </w:p>
    <w:tbl>
      <w:tblPr>
        <w:tblStyle w:val="6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5400"/>
        <w:gridCol w:w="2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2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540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学习困难原因分析</w:t>
            </w:r>
          </w:p>
        </w:tc>
        <w:tc>
          <w:tcPr>
            <w:tcW w:w="267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后续措施（含心理建设）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许霖</w:t>
            </w:r>
          </w:p>
        </w:tc>
        <w:tc>
          <w:tcPr>
            <w:tcW w:w="540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简单的</w:t>
            </w:r>
            <w:r>
              <w:rPr>
                <w:rFonts w:hint="eastAsia"/>
              </w:rPr>
              <w:t>加减乘除</w:t>
            </w:r>
            <w:r>
              <w:rPr>
                <w:rFonts w:hint="eastAsia"/>
                <w:lang w:val="en-US" w:eastAsia="zh-CN"/>
              </w:rPr>
              <w:t>都不会，</w:t>
            </w:r>
          </w:p>
        </w:tc>
        <w:tc>
          <w:tcPr>
            <w:tcW w:w="267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抓计算、基础题。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陈鑫</w:t>
            </w:r>
          </w:p>
        </w:tc>
        <w:tc>
          <w:tcPr>
            <w:tcW w:w="540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基础差，理解能力弱。</w:t>
            </w:r>
          </w:p>
        </w:tc>
        <w:tc>
          <w:tcPr>
            <w:tcW w:w="267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加强基础。</w:t>
            </w:r>
          </w:p>
        </w:tc>
      </w:tr>
    </w:tbl>
    <w:p>
      <w:pPr>
        <w:pStyle w:val="2"/>
        <w:numPr>
          <w:ilvl w:val="0"/>
          <w:numId w:val="1"/>
        </w:numPr>
        <w:spacing w:before="0" w:after="0" w:line="240" w:lineRule="auto"/>
        <w:ind w:left="0" w:leftChars="0" w:firstLine="0" w:firstLineChars="0"/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策略调整</w:t>
      </w:r>
    </w:p>
    <w:p>
      <w:pPr>
        <w:numPr>
          <w:ilvl w:val="0"/>
          <w:numId w:val="2"/>
        </w:numPr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提优策略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1.提高计算能力，专项练习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在理解算理的基础上，加强计算练习。在下学期设计计算过关专项练习，定期对全体学生进行计算能力的检测，包括口算、递等式计算、解方程、化简比和简便计算各种类型，依次过关。再根据每次的过关结果，对不同水平的学生跟进后续改善措施，提高二次过关率。</w:t>
      </w:r>
    </w:p>
    <w:p>
      <w:pPr>
        <w:numPr>
          <w:ilvl w:val="0"/>
          <w:numId w:val="3"/>
        </w:num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巩固基础，变式练习</w:t>
      </w:r>
    </w:p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例如单位转换这样的题目，看似简单不易出错，但其实是平时作业和考试中都是学生经常出现的一个失分点。单位转化知识点简单，但是考查形式可以是多样的，本卷中一改以往给单位填数字的考查方式，而是给数字填写合适的单位，考察方式新颖，对学生各种单位间转化的熟悉度有了更高的要求。因此在平时的教学中，也要巩固此类容易忽视的基础题，尝试变换形式，灵活出题，变式练习。</w:t>
      </w:r>
    </w:p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3.严格要求解题过程与习惯的规范性</w:t>
      </w:r>
    </w:p>
    <w:p>
      <w:pPr>
        <w:numPr>
          <w:ilvl w:val="0"/>
          <w:numId w:val="0"/>
        </w:numPr>
        <w:rPr>
          <w:b/>
          <w:bCs/>
          <w:sz w:val="22"/>
          <w:szCs w:val="28"/>
        </w:rPr>
      </w:pPr>
      <w:r>
        <w:rPr>
          <w:rFonts w:hint="eastAsia" w:ascii="宋体" w:hAnsi="宋体"/>
          <w:szCs w:val="21"/>
        </w:rPr>
        <w:t>培养学生仔细读题认真分析题意的习惯，将</w:t>
      </w:r>
      <w:r>
        <w:rPr>
          <w:rFonts w:ascii="宋体" w:hAnsi="宋体"/>
          <w:szCs w:val="21"/>
        </w:rPr>
        <w:t>关键字</w:t>
      </w:r>
      <w:r>
        <w:rPr>
          <w:rFonts w:hint="eastAsia" w:ascii="宋体" w:hAnsi="宋体"/>
          <w:szCs w:val="21"/>
        </w:rPr>
        <w:t>圈点勾画，尤其是涉及稍复杂的数量关系的解决问题，要求学生写下数量关系，将题目中已知量、未知量与数量关系式一一对应，有的放矢。</w:t>
      </w:r>
    </w:p>
    <w:p>
      <w:pPr>
        <w:numPr>
          <w:ilvl w:val="0"/>
          <w:numId w:val="4"/>
        </w:numPr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补缺策略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了解学生们的学习态度、学习习惯、学习方法等。做好学生的思想工作，经常和学生谈心，让学生觉得老师是重视他们的，激发他们学习的积极性，从而根据学生的思想心态进行相应的辅导。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定期与学生家长联系，进一步了解学生的复习情况。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ascii="宋体" w:hAnsi="宋体" w:eastAsia="宋体" w:cs="宋体"/>
          <w:sz w:val="24"/>
          <w:szCs w:val="24"/>
        </w:rPr>
        <w:t>课堂练习分成三个层次:第一层“必做题”-基础题，第二层:“选做题”一中等题，第三层“思考题”拓展题。满足不同层次学生的需要，已达到循序渐进的目的。</w:t>
      </w:r>
    </w:p>
    <w:p>
      <w:pPr>
        <w:numPr>
          <w:ilvl w:val="0"/>
          <w:numId w:val="0"/>
        </w:numPr>
        <w:rPr>
          <w:rFonts w:hint="eastAsia" w:eastAsia="宋体"/>
          <w:b/>
          <w:bCs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ascii="宋体" w:hAnsi="宋体" w:eastAsia="宋体" w:cs="宋体"/>
          <w:sz w:val="24"/>
          <w:szCs w:val="24"/>
        </w:rPr>
        <w:t>优化备课，功在课前，效在课上，课后重点补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rPr>
          <w:rFonts w:hint="default"/>
          <w:b/>
          <w:bCs/>
          <w:sz w:val="22"/>
          <w:szCs w:val="28"/>
          <w:lang w:val="en-US" w:eastAsia="zh-CN"/>
        </w:rPr>
      </w:pPr>
    </w:p>
    <w:sectPr>
      <w:pgSz w:w="11906" w:h="16838"/>
      <w:pgMar w:top="907" w:right="1134" w:bottom="90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9D436"/>
    <w:multiLevelType w:val="singleLevel"/>
    <w:tmpl w:val="83A9D43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F68C394"/>
    <w:multiLevelType w:val="singleLevel"/>
    <w:tmpl w:val="8F68C3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F2CA765"/>
    <w:multiLevelType w:val="singleLevel"/>
    <w:tmpl w:val="1F2CA76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F0A4F76"/>
    <w:multiLevelType w:val="singleLevel"/>
    <w:tmpl w:val="5F0A4F7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YmMyYTE4MDJkNzM2ZmJkODllNDMwZGE1ZmY1OTMifQ=="/>
    <w:docVar w:name="KSO_WPS_MARK_KEY" w:val="248d723e-01b7-4ca2-b522-a761da03a20b"/>
  </w:docVars>
  <w:rsids>
    <w:rsidRoot w:val="2CBC2FCC"/>
    <w:rsid w:val="03E924BD"/>
    <w:rsid w:val="05834C53"/>
    <w:rsid w:val="10503E19"/>
    <w:rsid w:val="18F356AC"/>
    <w:rsid w:val="1CA532CE"/>
    <w:rsid w:val="1FC234F7"/>
    <w:rsid w:val="20D65FDF"/>
    <w:rsid w:val="2B01764C"/>
    <w:rsid w:val="2CBC2FCC"/>
    <w:rsid w:val="2D7320F2"/>
    <w:rsid w:val="33A76AB4"/>
    <w:rsid w:val="33DD6947"/>
    <w:rsid w:val="35842A6C"/>
    <w:rsid w:val="36DB7A54"/>
    <w:rsid w:val="3AB94550"/>
    <w:rsid w:val="3CFE6072"/>
    <w:rsid w:val="3D00342E"/>
    <w:rsid w:val="3DA72FF0"/>
    <w:rsid w:val="406215F8"/>
    <w:rsid w:val="46E666CD"/>
    <w:rsid w:val="4B8B5C5D"/>
    <w:rsid w:val="4F7C02E5"/>
    <w:rsid w:val="4FF3580D"/>
    <w:rsid w:val="503C5534"/>
    <w:rsid w:val="5BB22E82"/>
    <w:rsid w:val="5DF42709"/>
    <w:rsid w:val="5F5875E4"/>
    <w:rsid w:val="64F27748"/>
    <w:rsid w:val="675E3429"/>
    <w:rsid w:val="68CC1241"/>
    <w:rsid w:val="6E26701C"/>
    <w:rsid w:val="7483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1612</Words>
  <Characters>1738</Characters>
  <Lines>0</Lines>
  <Paragraphs>0</Paragraphs>
  <TotalTime>25</TotalTime>
  <ScaleCrop>false</ScaleCrop>
  <LinksUpToDate>false</LinksUpToDate>
  <CharactersWithSpaces>1767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2023-02-16T08:02:00Z</dcterms:created>
  <dc:creator>1</dc:creator>
  <cp:lastModifiedBy>刘赟磊</cp:lastModifiedBy>
  <cp:lastPrinted>2023-02-17T04:05:00Z</cp:lastPrinted>
  <dcterms:modified xsi:type="dcterms:W3CDTF">2023-06-28T02:33:48Z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235ED4F0094C40E48682333D54DD8AAF</vt:lpwstr>
  </property>
</Properties>
</file>