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24"/>
          <w:szCs w:val="22"/>
        </w:rPr>
      </w:pPr>
      <w:r>
        <w:rPr>
          <w:rFonts w:hint="eastAsia" w:ascii="黑体" w:eastAsia="黑体"/>
          <w:b/>
          <w:sz w:val="32"/>
          <w:szCs w:val="28"/>
        </w:rPr>
        <w:t xml:space="preserve">     龙虎塘第二实验小学学业学业质量调研分析</w:t>
      </w:r>
      <w:r>
        <w:rPr>
          <w:rFonts w:hint="eastAsia" w:ascii="黑体" w:eastAsia="黑体"/>
          <w:b/>
          <w:sz w:val="24"/>
          <w:szCs w:val="22"/>
        </w:rPr>
        <w:t>2023.2</w:t>
      </w:r>
    </w:p>
    <w:p>
      <w:pPr>
        <w:pStyle w:val="2"/>
        <w:spacing w:before="0" w:after="0" w:line="240" w:lineRule="auto"/>
        <w:jc w:val="center"/>
        <w:rPr>
          <w:rFonts w:ascii="楷体" w:hAnsi="楷体" w:eastAsia="楷体" w:cs="楷体"/>
          <w:b w:val="0"/>
          <w:bCs w:val="0"/>
          <w:sz w:val="24"/>
          <w:szCs w:val="24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（ 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eastAsia="zh-CN"/>
        </w:rPr>
        <w:t>六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）年级（ 2 ）班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 xml:space="preserve">    学科：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数学    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 xml:space="preserve">  任课教师：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eastAsia="zh-CN"/>
        </w:rPr>
        <w:t>耿云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   </w:t>
      </w:r>
    </w:p>
    <w:p>
      <w:pPr>
        <w:pStyle w:val="2"/>
        <w:spacing w:before="0" w:after="0" w:line="3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一、题型分析</w:t>
      </w:r>
    </w:p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spacing w:line="320" w:lineRule="exact"/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1．</w:t>
      </w:r>
      <w:r>
        <w:rPr>
          <w:rFonts w:ascii="宋体" w:hAnsi="宋体"/>
          <w:b/>
          <w:bCs/>
        </w:rPr>
        <w:t>逐题得分率统计</w:t>
      </w:r>
    </w:p>
    <w:tbl>
      <w:tblPr>
        <w:tblStyle w:val="6"/>
        <w:tblW w:w="856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222"/>
        <w:gridCol w:w="1043"/>
        <w:gridCol w:w="1216"/>
        <w:gridCol w:w="1216"/>
        <w:gridCol w:w="1390"/>
        <w:gridCol w:w="1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4" w:hRule="atLeast"/>
        </w:trPr>
        <w:tc>
          <w:tcPr>
            <w:tcW w:w="1264" w:type="dxa"/>
            <w:vMerge w:val="restart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一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二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三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四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五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" w:hRule="atLeast"/>
        </w:trPr>
        <w:tc>
          <w:tcPr>
            <w:tcW w:w="1264" w:type="dxa"/>
            <w:vMerge w:val="continue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 计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应得分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1064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798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210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456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1292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实得分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eastAsia" w:ascii="楷体_GB2312" w:eastAsia="楷体_GB2312"/>
              </w:rPr>
              <w:t>1</w:t>
            </w:r>
            <w:r>
              <w:rPr>
                <w:rFonts w:hint="default" w:ascii="楷体_GB2312" w:eastAsia="楷体_GB2312"/>
                <w:lang w:val="en-US"/>
              </w:rPr>
              <w:t>013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719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157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ind w:firstLine="315" w:firstLineChars="150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396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1146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8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得分率（</w:t>
            </w:r>
            <w:r>
              <w:t>%)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eastAsia" w:ascii="楷体_GB2312" w:eastAsia="楷体_GB2312"/>
              </w:rPr>
              <w:t>9</w:t>
            </w:r>
            <w:r>
              <w:rPr>
                <w:rFonts w:hint="default" w:ascii="楷体_GB2312" w:eastAsia="楷体_GB2312"/>
                <w:lang w:val="en-US"/>
              </w:rPr>
              <w:t>5.2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eastAsia" w:ascii="楷体_GB2312" w:eastAsia="楷体_GB2312"/>
              </w:rPr>
              <w:t>9</w:t>
            </w:r>
            <w:r>
              <w:rPr>
                <w:rFonts w:hint="default" w:ascii="楷体_GB2312" w:eastAsia="楷体_GB2312"/>
                <w:lang w:val="en-US"/>
              </w:rPr>
              <w:t>0.1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74.8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86.8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/>
              </w:rPr>
            </w:pPr>
            <w:r>
              <w:rPr>
                <w:rFonts w:hint="default" w:ascii="楷体_GB2312" w:eastAsia="楷体_GB2312"/>
                <w:lang w:val="en-US"/>
              </w:rPr>
              <w:t>88.7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</w:tbl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2.典型错误分析</w:t>
      </w:r>
    </w:p>
    <w:tbl>
      <w:tblPr>
        <w:tblStyle w:val="6"/>
        <w:tblpPr w:leftFromText="180" w:rightFromText="180" w:vertAnchor="text" w:horzAnchor="margin" w:tblpX="50" w:tblpY="106"/>
        <w:tblW w:w="98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1062"/>
        <w:gridCol w:w="4145"/>
        <w:gridCol w:w="37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60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题型</w:t>
            </w:r>
          </w:p>
        </w:tc>
        <w:tc>
          <w:tcPr>
            <w:tcW w:w="106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得分率</w:t>
            </w:r>
          </w:p>
        </w:tc>
        <w:tc>
          <w:tcPr>
            <w:tcW w:w="4145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="420" w:firstLineChars="20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典型错误</w:t>
            </w:r>
          </w:p>
        </w:tc>
        <w:tc>
          <w:tcPr>
            <w:tcW w:w="3777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="420" w:firstLineChars="20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错误原因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二、填空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default" w:ascii="宋体" w:hAnsi="宋体"/>
                <w:szCs w:val="21"/>
                <w:lang w:val="en-US"/>
              </w:rPr>
              <w:t>47.4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drawing>
                <wp:inline distT="0" distB="0" distL="114300" distR="114300">
                  <wp:extent cx="2494280" cy="486410"/>
                  <wp:effectExtent l="0" t="0" r="1270" b="889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77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本题学生想不到要利用转化的策略，把涂色部分转化成先求空白部分的面积。学生错误的原因都是采用割补、拼接的方法直接来求面积。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三、选择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73.7%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drawing>
                <wp:inline distT="0" distB="0" distL="114300" distR="114300">
                  <wp:extent cx="2489200" cy="427355"/>
                  <wp:effectExtent l="0" t="0" r="6350" b="1079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对于质数、合数、奇数和偶数的概念学生还是不够清晰。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三、选择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71.0%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drawing>
                <wp:inline distT="0" distB="0" distL="114300" distR="114300">
                  <wp:extent cx="2490470" cy="381635"/>
                  <wp:effectExtent l="0" t="0" r="5080" b="1841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让学生根据实际情况选择合适的比例尺，学生找不到解决这类问题的方法。像本题学生需要考虑到试卷的长度大约有</w:t>
            </w:r>
            <w:r>
              <w:rPr>
                <w:rFonts w:hint="eastAsia"/>
                <w:lang w:val="en-US" w:eastAsia="zh-CN"/>
              </w:rPr>
              <w:t>20厘米以上，所有要能通过不同的比例尺计算出结果再选择。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四、操作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52.6%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drawing>
                <wp:inline distT="0" distB="0" distL="114300" distR="114300">
                  <wp:extent cx="3663315" cy="266700"/>
                  <wp:effectExtent l="0" t="0" r="13335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3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7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大部分错误的学生都是平均分成</w:t>
            </w:r>
            <w:r>
              <w:rPr>
                <w:rFonts w:hint="eastAsia"/>
                <w:lang w:val="en-US" w:eastAsia="zh-CN"/>
              </w:rPr>
              <w:t>7份，取6份。他们没有关注到6/7的单位“1”是1公顷。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五、解决问题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60.5%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drawing>
                <wp:inline distT="0" distB="0" distL="114300" distR="114300">
                  <wp:extent cx="2491740" cy="647065"/>
                  <wp:effectExtent l="0" t="0" r="3810" b="635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本题错误的原因是对于中点这个词的忽略，部分学生还不具备画图的意识，本题采用画线段图还是非常容易解决的。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五、解决问题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78.9%</w:t>
            </w:r>
          </w:p>
        </w:tc>
        <w:tc>
          <w:tcPr>
            <w:tcW w:w="4145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drawing>
                <wp:inline distT="0" distB="0" distL="114300" distR="114300">
                  <wp:extent cx="2491740" cy="1114425"/>
                  <wp:effectExtent l="0" t="0" r="3810" b="952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377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学生在第</w:t>
            </w:r>
            <w:r>
              <w:rPr>
                <w:rFonts w:hint="eastAsia"/>
                <w:lang w:val="en-US" w:eastAsia="zh-CN"/>
              </w:rPr>
              <w:t>3、4小题的时候错误较多。第3题学生会理解成行完全程甲车和乙车的时间差，没有看到是6千米的时间差。第4题学生是不能根据乙车的折线看懂乙车的时间和路程。</w:t>
            </w:r>
          </w:p>
        </w:tc>
      </w:tr>
    </w:tbl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学生分析</w:t>
      </w:r>
    </w:p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1．等第分布情况统计</w:t>
      </w:r>
    </w:p>
    <w:tbl>
      <w:tblPr>
        <w:tblStyle w:val="6"/>
        <w:tblpPr w:leftFromText="180" w:rightFromText="180" w:vertAnchor="text" w:horzAnchor="margin" w:tblpX="108" w:tblpY="142"/>
        <w:tblW w:w="97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1"/>
        <w:gridCol w:w="789"/>
        <w:gridCol w:w="589"/>
        <w:gridCol w:w="622"/>
        <w:gridCol w:w="744"/>
        <w:gridCol w:w="567"/>
        <w:gridCol w:w="522"/>
        <w:gridCol w:w="578"/>
        <w:gridCol w:w="511"/>
        <w:gridCol w:w="622"/>
        <w:gridCol w:w="522"/>
        <w:gridCol w:w="745"/>
        <w:gridCol w:w="544"/>
        <w:gridCol w:w="534"/>
        <w:gridCol w:w="466"/>
        <w:gridCol w:w="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</w:trPr>
        <w:tc>
          <w:tcPr>
            <w:tcW w:w="73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学生人数</w:t>
            </w:r>
          </w:p>
        </w:tc>
        <w:tc>
          <w:tcPr>
            <w:tcW w:w="7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等级</w:t>
            </w:r>
          </w:p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分布</w:t>
            </w:r>
          </w:p>
        </w:tc>
        <w:tc>
          <w:tcPr>
            <w:tcW w:w="5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A+</w:t>
            </w:r>
          </w:p>
        </w:tc>
        <w:tc>
          <w:tcPr>
            <w:tcW w:w="6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4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优秀率</w:t>
            </w:r>
          </w:p>
        </w:tc>
        <w:tc>
          <w:tcPr>
            <w:tcW w:w="567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B+</w:t>
            </w:r>
          </w:p>
        </w:tc>
        <w:tc>
          <w:tcPr>
            <w:tcW w:w="5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78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C+</w:t>
            </w:r>
          </w:p>
        </w:tc>
        <w:tc>
          <w:tcPr>
            <w:tcW w:w="51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D+</w:t>
            </w:r>
          </w:p>
        </w:tc>
        <w:tc>
          <w:tcPr>
            <w:tcW w:w="5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45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合格率</w:t>
            </w:r>
          </w:p>
        </w:tc>
        <w:tc>
          <w:tcPr>
            <w:tcW w:w="54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E</w:t>
            </w:r>
          </w:p>
        </w:tc>
        <w:tc>
          <w:tcPr>
            <w:tcW w:w="53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466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71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不合格率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3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7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589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622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spacing w:line="360" w:lineRule="auto"/>
              <w:jc w:val="left"/>
            </w:pPr>
            <w:r>
              <w:rPr>
                <w:rFonts w:hint="eastAsia"/>
                <w:lang w:val="en-US" w:eastAsia="zh-CN"/>
              </w:rPr>
              <w:t>57.9</w:t>
            </w:r>
            <w:r>
              <w:rPr>
                <w:rFonts w:hint="eastAsia"/>
              </w:rPr>
              <w:t>%</w:t>
            </w:r>
          </w:p>
        </w:tc>
        <w:tc>
          <w:tcPr>
            <w:tcW w:w="567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22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78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11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1</w:t>
            </w:r>
          </w:p>
        </w:tc>
        <w:tc>
          <w:tcPr>
            <w:tcW w:w="622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</w:p>
        </w:tc>
        <w:tc>
          <w:tcPr>
            <w:tcW w:w="522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</w:p>
        </w:tc>
        <w:tc>
          <w:tcPr>
            <w:tcW w:w="745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  <w:lang w:val="en-US" w:eastAsia="zh-CN"/>
              </w:rPr>
              <w:t>97</w:t>
            </w:r>
            <w:r>
              <w:rPr>
                <w:rFonts w:hint="eastAsia"/>
              </w:rPr>
              <w:t>%</w:t>
            </w:r>
          </w:p>
        </w:tc>
        <w:tc>
          <w:tcPr>
            <w:tcW w:w="544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34" w:type="dxa"/>
          </w:tcPr>
          <w:p>
            <w:pPr>
              <w:jc w:val="left"/>
            </w:pPr>
          </w:p>
        </w:tc>
        <w:tc>
          <w:tcPr>
            <w:tcW w:w="466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</w:p>
        </w:tc>
        <w:tc>
          <w:tcPr>
            <w:tcW w:w="711" w:type="dxa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3%</w:t>
            </w:r>
          </w:p>
        </w:tc>
      </w:tr>
    </w:tbl>
    <w:p>
      <w:pPr>
        <w:pStyle w:val="2"/>
        <w:spacing w:before="0" w:after="0" w:line="240" w:lineRule="auto"/>
        <w:rPr>
          <w:rFonts w:ascii="宋体" w:hAnsi="宋体"/>
          <w:sz w:val="21"/>
          <w:szCs w:val="24"/>
        </w:rPr>
      </w:pPr>
    </w:p>
    <w:p>
      <w:pPr>
        <w:pStyle w:val="2"/>
        <w:spacing w:before="0" w:after="0" w:line="24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2.学习困难学生及分析</w:t>
      </w:r>
    </w:p>
    <w:tbl>
      <w:tblPr>
        <w:tblStyle w:val="7"/>
        <w:tblW w:w="94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5400"/>
        <w:gridCol w:w="2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327" w:type="dxa"/>
          </w:tcPr>
          <w:p>
            <w:r>
              <w:rPr>
                <w:rFonts w:hint="eastAsia"/>
              </w:rPr>
              <w:t>学生姓名</w:t>
            </w:r>
          </w:p>
        </w:tc>
        <w:tc>
          <w:tcPr>
            <w:tcW w:w="5400" w:type="dxa"/>
          </w:tcPr>
          <w:p>
            <w:pPr>
              <w:jc w:val="center"/>
            </w:pPr>
            <w:r>
              <w:rPr>
                <w:rFonts w:hint="eastAsia"/>
              </w:rPr>
              <w:t>学习困难原因分析</w:t>
            </w:r>
          </w:p>
        </w:tc>
        <w:tc>
          <w:tcPr>
            <w:tcW w:w="2678" w:type="dxa"/>
          </w:tcPr>
          <w:p>
            <w:pPr>
              <w:jc w:val="center"/>
            </w:pPr>
            <w:r>
              <w:rPr>
                <w:rFonts w:hint="eastAsia"/>
              </w:rPr>
              <w:t>后续措施（含心理建设）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/>
        </w:tc>
        <w:tc>
          <w:tcPr>
            <w:tcW w:w="5400" w:type="dxa"/>
          </w:tcPr>
          <w:p/>
        </w:tc>
        <w:tc>
          <w:tcPr>
            <w:tcW w:w="2678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/>
        </w:tc>
        <w:tc>
          <w:tcPr>
            <w:tcW w:w="5400" w:type="dxa"/>
          </w:tcPr>
          <w:p/>
        </w:tc>
        <w:tc>
          <w:tcPr>
            <w:tcW w:w="2678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/>
        </w:tc>
        <w:tc>
          <w:tcPr>
            <w:tcW w:w="5400" w:type="dxa"/>
          </w:tcPr>
          <w:p/>
        </w:tc>
        <w:tc>
          <w:tcPr>
            <w:tcW w:w="2678" w:type="dxa"/>
          </w:tcPr>
          <w:p/>
        </w:tc>
      </w:tr>
    </w:tbl>
    <w:p>
      <w:pPr>
        <w:pStyle w:val="2"/>
        <w:numPr>
          <w:ilvl w:val="0"/>
          <w:numId w:val="1"/>
        </w:numPr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策略调整</w:t>
      </w:r>
    </w:p>
    <w:p>
      <w:pPr>
        <w:numPr>
          <w:ilvl w:val="0"/>
          <w:numId w:val="2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提优策略</w:t>
      </w:r>
    </w:p>
    <w:p>
      <w:pPr>
        <w:numPr>
          <w:ilvl w:val="0"/>
          <w:numId w:val="3"/>
        </w:numPr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勤用数学策略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鼓励学生在碰到数学问题时，可以采用画线段图、示意图的方式进行思考，从而更直观地帮助学生抽象数学问题，找到解决问题的途径。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培养推理能力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在讲解数学问题时要能有不同角度的方法，比如针对大部分孩子可以采用直观地举例、计算，而对于优等生而言还需要讲解有关推理的方法，从而不断培养学生的数学抽象能力和逻辑思维能力。</w:t>
      </w:r>
    </w:p>
    <w:p>
      <w:pPr>
        <w:rPr>
          <w:b/>
          <w:bCs/>
          <w:sz w:val="24"/>
          <w:szCs w:val="24"/>
        </w:rPr>
      </w:pPr>
    </w:p>
    <w:p>
      <w:pPr>
        <w:numPr>
          <w:ilvl w:val="0"/>
          <w:numId w:val="4"/>
        </w:numPr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补缺策略</w:t>
      </w:r>
    </w:p>
    <w:p>
      <w:pPr>
        <w:pStyle w:val="2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20" w:lineRule="exac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强加计算。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在日常教学中渗透小数、分数的计算，从日常抓起，不断提高计算的正确率。对于稍复杂的计算要有针对性进行讲解与练习。</w:t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多练基础。</w:t>
      </w:r>
    </w:p>
    <w:p>
      <w:pPr>
        <w:numPr>
          <w:ilvl w:val="0"/>
          <w:numId w:val="0"/>
        </w:numPr>
        <w:ind w:leftChars="0"/>
        <w:rPr>
          <w:bCs/>
          <w:sz w:val="22"/>
          <w:szCs w:val="28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首先让学习有困难的学生把基础的习题练会，掌握基础的数学知识和基本的数学技能。在日常的练习中也有所选择，挑选适合他们的练习，有针对性练习，在基础练习中提高学生学习的积极性。</w:t>
      </w:r>
    </w:p>
    <w:sectPr>
      <w:pgSz w:w="11906" w:h="16838"/>
      <w:pgMar w:top="907" w:right="1134" w:bottom="907" w:left="1134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A9D436"/>
    <w:multiLevelType w:val="singleLevel"/>
    <w:tmpl w:val="83A9D43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F68C394"/>
    <w:multiLevelType w:val="singleLevel"/>
    <w:tmpl w:val="8F68C39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3FC4A42"/>
    <w:multiLevelType w:val="singleLevel"/>
    <w:tmpl w:val="F3FC4A42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5F0A4F76"/>
    <w:multiLevelType w:val="singleLevel"/>
    <w:tmpl w:val="5F0A4F7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73FC07D"/>
    <w:multiLevelType w:val="singleLevel"/>
    <w:tmpl w:val="673FC07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NDA5Yzg0MmZjY2ZkN2U4ZWY5Y2M3ZjQ5OGEzZjQifQ=="/>
    <w:docVar w:name="KSO_WPS_MARK_KEY" w:val="248d723e-01b7-4ca2-b522-a761da03a20b"/>
  </w:docVars>
  <w:rsids>
    <w:rsidRoot w:val="2CBC2FCC"/>
    <w:rsid w:val="00001D20"/>
    <w:rsid w:val="000743ED"/>
    <w:rsid w:val="002812A6"/>
    <w:rsid w:val="002D1D0A"/>
    <w:rsid w:val="003C4CE5"/>
    <w:rsid w:val="005658D0"/>
    <w:rsid w:val="00592981"/>
    <w:rsid w:val="005A6589"/>
    <w:rsid w:val="00610C84"/>
    <w:rsid w:val="006336A1"/>
    <w:rsid w:val="0073352E"/>
    <w:rsid w:val="008C1EAF"/>
    <w:rsid w:val="00940511"/>
    <w:rsid w:val="00A61189"/>
    <w:rsid w:val="00B05DE2"/>
    <w:rsid w:val="00D6347F"/>
    <w:rsid w:val="00D90AA5"/>
    <w:rsid w:val="00F94BBB"/>
    <w:rsid w:val="00FD1618"/>
    <w:rsid w:val="1B5F5D44"/>
    <w:rsid w:val="1CA532CE"/>
    <w:rsid w:val="2CBC2FCC"/>
    <w:rsid w:val="4062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910</Words>
  <Characters>993</Characters>
  <Lines>8</Lines>
  <Paragraphs>2</Paragraphs>
  <TotalTime>0</TotalTime>
  <ScaleCrop>false</ScaleCrop>
  <LinksUpToDate>false</LinksUpToDate>
  <CharactersWithSpaces>1022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2023-03-28T07:21:00Z</dcterms:created>
  <dc:creator>1</dc:creator>
  <cp:lastModifiedBy>Chouxiaoya</cp:lastModifiedBy>
  <cp:lastPrinted>2023-02-17T04:05:00Z</cp:lastPrinted>
  <dcterms:modified xsi:type="dcterms:W3CDTF">2023-06-20T07:32:13Z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235ED4F0094C40E48682333D54DD8AAF</vt:lpwstr>
  </property>
</Properties>
</file>