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5月理论学习（王暑雅）        </w:t>
      </w:r>
      <w:r>
        <w:rPr>
          <w:rFonts w:hint="eastAsia" w:ascii="黑体" w:hAnsi="黑体" w:eastAsia="黑体" w:cs="黑体"/>
          <w:b w:val="0"/>
          <w:bCs w:val="0"/>
          <w:sz w:val="22"/>
          <w:szCs w:val="28"/>
          <w:lang w:val="en-US" w:eastAsia="zh-CN"/>
        </w:rPr>
        <w:t>2023.5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《浅议小学生数学阅读能力的培养》</w:t>
            </w:r>
          </w:p>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作者：陆水生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widowControl/>
              <w:shd w:val="clear" w:color="auto" w:fill="FFFFFF"/>
              <w:spacing w:line="400" w:lineRule="atLeast"/>
              <w:ind w:firstLine="482"/>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学教材是由文字、符号、运算顺序、数字等组成，不是单一的文字理解，对学生的逻辑思维和空间想象能力提出了要求。而阅读理解常常是解决数学问题的重要前提，只有读懂了题目，才能将题目解答出来。比如数学教材中的解决问题，首先是“阅读与理解”，其次是“分析与解答”，最后才是“回顾与反思”，所以阅读教材，理解题意常常是解决数学问题，特别是数学文本问题的必要前提。</w:t>
            </w:r>
          </w:p>
          <w:p>
            <w:pPr>
              <w:widowControl/>
              <w:shd w:val="clear" w:color="auto" w:fill="FFFFFF"/>
              <w:spacing w:line="400" w:lineRule="atLeast"/>
              <w:ind w:firstLine="482"/>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为了检验学生课前阅读的效果，在课前我会采用提问、练习、互相讨论等方式加强学生信息交流，随时发现问题，使指导更具针对性。</w:t>
            </w:r>
          </w:p>
          <w:p>
            <w:pPr>
              <w:widowControl/>
              <w:shd w:val="clear" w:color="auto" w:fill="FFFFFF"/>
              <w:spacing w:line="400" w:lineRule="atLeast"/>
              <w:ind w:firstLine="482"/>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材上有的例题过于简单，为了让课堂具有挑战性，我有时会在新课教学时重新设计另外的题，把教材上的例题作为练习使用，以免孩子们在学习时觉得毫无挑战而失去学习的兴趣。当新课教学完成后，我会留给学生阅读教材的时间，要求学生阅读数学课本时用特殊符号进行勾画，如重点用五星标识、关键词用双实线勾画或圈住、重要的段落和数量关系式用红笔勾出、难以理解的用问号标识。长期坚持训练，让学生养成边阅读边进行圈点勾画的习惯。</w:t>
            </w:r>
          </w:p>
          <w:p>
            <w:pPr>
              <w:widowControl/>
              <w:shd w:val="clear" w:color="auto" w:fill="FFFFFF"/>
              <w:spacing w:line="400" w:lineRule="atLeast"/>
              <w:ind w:firstLine="482"/>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课中阅读后，对学生的设疑要有层次性和启发性，要贴近学生的实际。教会学生从不同角度思考、质疑，养成爱问、好问、会问的好习惯。例如：商不变的性质：“在除法里，被除数和除数同时乘或除以相同的数（0除外），商不变”。学生阅读后，可通过提问的方法引导他们：（1）结论中的“同时”是什么含义？删除“同时”结论还成立吗？（2）为什么要乘或除以“相同的数”？ 如果同时乘或除以不同的数会怎样？进而引出，如果同时加上或减去相同的数，商的大小是否变化？这样通过问答的方式，学生不仅明白了“为什么”，而且领悟了蕴含其中的阅读方法。久而久之，学生在读题时也会抓住关键，多问个为什么，思维能力也随之发展和培养。</w:t>
            </w:r>
          </w:p>
          <w:p>
            <w:pPr>
              <w:widowControl/>
              <w:shd w:val="clear" w:color="auto" w:fill="FFFFFF"/>
              <w:spacing w:line="400" w:lineRule="atLeast"/>
              <w:ind w:firstLine="482"/>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良好的阅读习惯对学生理解各种题目的要求也是非常有帮助的，如四年级教材中第11页第2题，题目是“按照顺序计算，并填写下面的方框，然后列出综合算式。”这道题是有3个要求的，部分学困生都会忽略第一个，只完成后面两个要求，而导致列综合算式发生错误。而第一个要求其实就是在告诉学生当你列综合算式时，要充分考虑此题的运算顺序，括号的使用、数字的位置等等。</w:t>
            </w:r>
          </w:p>
          <w:p>
            <w:pPr>
              <w:widowControl/>
              <w:shd w:val="clear" w:color="auto" w:fill="FFFFFF"/>
              <w:spacing w:line="400" w:lineRule="atLeast"/>
              <w:ind w:firstLine="482"/>
              <w:jc w:val="left"/>
              <w:rPr>
                <w:rFonts w:hint="eastAsia" w:eastAsiaTheme="minorEastAsia"/>
                <w:vertAlign w:val="baseline"/>
                <w:lang w:eastAsia="zh-CN"/>
              </w:rPr>
            </w:pPr>
            <w:r>
              <w:rPr>
                <w:rFonts w:hint="eastAsia" w:ascii="宋体" w:hAnsi="宋体" w:eastAsia="宋体" w:cs="宋体"/>
                <w:color w:val="000000" w:themeColor="text1"/>
                <w:kern w:val="0"/>
                <w:sz w:val="24"/>
                <w14:textFill>
                  <w14:solidFill>
                    <w14:schemeClr w14:val="tx1"/>
                  </w14:solidFill>
                </w14:textFill>
              </w:rPr>
              <w:t>对于部分学困生，我要求他们拿起笔来读题——正所谓“不动笔墨不读书”。先让他们第一遍把题读通顺，第二遍圈出题目中的要求有几个，第三遍再带着理解读，然后再下笔完成练习。这样一来，出错的机率就小多了，这就是阅读的力量，也是阅读方法的具体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olor w:val="000000" w:themeColor="text1"/>
                <w:shd w:val="clear" w:color="auto" w:fill="FFFFFF"/>
                <w14:textFill>
                  <w14:solidFill>
                    <w14:schemeClr w14:val="tx1"/>
                  </w14:solidFill>
                </w14:textFill>
              </w:rPr>
            </w:pPr>
            <w:r>
              <w:rPr>
                <w:rFonts w:hint="eastAsia" w:ascii="宋体" w:hAnsi="宋体" w:eastAsia="宋体"/>
                <w:color w:val="000000" w:themeColor="text1"/>
                <w:shd w:val="clear" w:color="auto" w:fill="FFFFFF"/>
                <w14:textFill>
                  <w14:solidFill>
                    <w14:schemeClr w14:val="tx1"/>
                  </w14:solidFill>
                </w14:textFill>
              </w:rPr>
              <w:t>数学教学中的阅读教学，应当是一种意识，其目的是培养学生养成良好的阅读、自学和学习习惯，而不是一种形式，它应当渗透到教学的各个环节中去。这样既可以拓展学生的知识面与深度，又可以使批判性思维能力，创新能力得到充分地发挥，从而提高学生学习数学的兴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olor w:val="000000" w:themeColor="text1"/>
                <w:shd w:val="clear" w:color="auto" w:fill="FFFFFF"/>
                <w:lang w:val="en-US" w:eastAsia="zh-CN"/>
                <w14:textFill>
                  <w14:solidFill>
                    <w14:schemeClr w14:val="tx1"/>
                  </w14:solidFill>
                </w14:textFill>
              </w:rPr>
            </w:pPr>
            <w:r>
              <w:rPr>
                <w:rFonts w:hint="eastAsia" w:ascii="宋体" w:hAnsi="宋体" w:eastAsia="宋体"/>
                <w:color w:val="000000" w:themeColor="text1"/>
                <w:shd w:val="clear" w:color="auto" w:fill="FFFFFF"/>
                <w:lang w:val="en-US" w:eastAsia="zh-CN"/>
                <w14:textFill>
                  <w14:solidFill>
                    <w14:schemeClr w14:val="tx1"/>
                  </w14:solidFill>
                </w14:textFill>
              </w:rPr>
              <w:t>我们还要重视课后阅读。课后的阅读其实就是我们所说的对当天知识的复习，对所学知识的再次巩固。在教学中，常常有一些接受能力比较慢的学生，对教师所讲解的内容需要一定的时间进行消化吸收。我会在课后布置阅读教材的作业，让他们对当天所教学的内容有一个系统的再巩固，想想哪里还没有弄明白，然后在书上用问号表示。而我则通过第二天的课前提问和家庭作业的情况来判断学生对知识的掌握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olor w:val="373535"/>
                <w:shd w:val="clear" w:color="auto" w:fill="FFFFFF"/>
                <w:lang w:val="en-US" w:eastAsia="zh-CN"/>
              </w:rPr>
            </w:pPr>
            <w:r>
              <w:rPr>
                <w:rFonts w:hint="eastAsia" w:ascii="宋体" w:hAnsi="宋体" w:eastAsia="宋体"/>
                <w:color w:val="000000" w:themeColor="text1"/>
                <w:shd w:val="clear" w:color="auto" w:fill="FFFFFF"/>
                <w:lang w:val="en-US" w:eastAsia="zh-CN"/>
                <w14:textFill>
                  <w14:solidFill>
                    <w14:schemeClr w14:val="tx1"/>
                  </w14:solidFill>
                </w14:textFill>
              </w:rPr>
              <w:t>但是由于课前阅读与课后阅读都是学生自己在家完成，无法监管，所以对于学习习惯不好的孩子，完成的效果不是很理想。在今后的教学中我还要加大督促力度、充分利用激励机制，努力培养学生养成良好的数学阅读习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539F5E9F"/>
    <w:rsid w:val="30F87107"/>
    <w:rsid w:val="539F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770</Words>
  <Characters>775</Characters>
  <Lines>0</Lines>
  <Paragraphs>0</Paragraphs>
  <TotalTime>0</TotalTime>
  <ScaleCrop>false</ScaleCrop>
  <LinksUpToDate>false</LinksUpToDate>
  <CharactersWithSpaces>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2023-06-25T00:46:00Z</dcterms:created>
  <dc:creator>肉多多wsy</dc:creator>
  <cp:lastModifiedBy>肉多多wsy</cp:lastModifiedBy>
  <dcterms:modified xsi:type="dcterms:W3CDTF">2023-06-26T05:16:43Z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80A0D59AE85C4F518B19D81B0C7F3F4F_11</vt:lpwstr>
  </property>
</Properties>
</file>