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黑体" w:hAnsi="黑体" w:eastAsia="黑体" w:cs="黑体"/>
          <w:b w:val="0"/>
          <w:bCs w:val="0"/>
          <w:sz w:val="22"/>
          <w:szCs w:val="28"/>
          <w:lang w:val="en-US" w:eastAsia="zh-CN"/>
        </w:rPr>
      </w:pPr>
      <w:r>
        <w:rPr>
          <w:rFonts w:hint="eastAsia" w:ascii="黑体" w:hAnsi="黑体" w:eastAsia="黑体" w:cs="黑体"/>
          <w:b/>
          <w:bCs/>
          <w:sz w:val="32"/>
          <w:szCs w:val="40"/>
          <w:lang w:val="en-US" w:eastAsia="zh-CN"/>
        </w:rPr>
        <w:t xml:space="preserve">              4月理论学习（李甜）        </w:t>
      </w:r>
      <w:r>
        <w:rPr>
          <w:rFonts w:hint="eastAsia" w:ascii="黑体" w:hAnsi="黑体" w:eastAsia="黑体" w:cs="黑体"/>
          <w:b w:val="0"/>
          <w:bCs w:val="0"/>
          <w:sz w:val="22"/>
          <w:szCs w:val="28"/>
          <w:lang w:val="en-US" w:eastAsia="zh-CN"/>
        </w:rPr>
        <w:t>2023</w:t>
      </w:r>
      <w:bookmarkStart w:id="0" w:name="_GoBack"/>
      <w:bookmarkEnd w:id="0"/>
      <w:r>
        <w:rPr>
          <w:rFonts w:hint="eastAsia" w:ascii="黑体" w:hAnsi="黑体" w:eastAsia="黑体" w:cs="黑体"/>
          <w:b w:val="0"/>
          <w:bCs w:val="0"/>
          <w:sz w:val="22"/>
          <w:szCs w:val="28"/>
          <w:lang w:val="en-US" w:eastAsia="zh-CN"/>
        </w:rPr>
        <w:t>.4</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99"/>
        <w:gridCol w:w="66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9" w:type="dxa"/>
            <w:vAlign w:val="center"/>
          </w:tcPr>
          <w:p>
            <w:pPr>
              <w:spacing w:line="360" w:lineRule="auto"/>
              <w:jc w:val="center"/>
              <w:rPr>
                <w:vertAlign w:val="baseline"/>
              </w:rPr>
            </w:pPr>
            <w:r>
              <w:rPr>
                <w:rFonts w:hint="eastAsia" w:ascii="黑体" w:hAnsi="黑体" w:eastAsia="黑体" w:cs="黑体"/>
                <w:b/>
                <w:bCs/>
                <w:sz w:val="28"/>
                <w:szCs w:val="36"/>
                <w:lang w:val="en-US" w:eastAsia="zh-CN"/>
              </w:rPr>
              <w:t>【论文题目】</w:t>
            </w:r>
          </w:p>
        </w:tc>
        <w:tc>
          <w:tcPr>
            <w:tcW w:w="6623" w:type="dxa"/>
            <w:vAlign w:val="center"/>
          </w:tcPr>
          <w:p>
            <w:pPr>
              <w:spacing w:line="360" w:lineRule="auto"/>
              <w:jc w:val="center"/>
              <w:rPr>
                <w:rFonts w:hint="eastAsia" w:ascii="黑体" w:hAnsi="黑体" w:eastAsia="黑体" w:cs="黑体"/>
                <w:b/>
                <w:bCs/>
                <w:sz w:val="28"/>
                <w:szCs w:val="36"/>
                <w:lang w:val="en-US" w:eastAsia="zh-CN"/>
              </w:rPr>
            </w:pPr>
            <w:r>
              <w:rPr>
                <w:rFonts w:hint="eastAsia" w:ascii="黑体" w:hAnsi="黑体" w:eastAsia="黑体" w:cs="黑体"/>
                <w:b/>
                <w:bCs/>
                <w:sz w:val="28"/>
                <w:szCs w:val="36"/>
                <w:lang w:val="en-US" w:eastAsia="zh-CN"/>
              </w:rPr>
              <w:t>核心素养下小学数学阅读能力的培养</w:t>
            </w:r>
          </w:p>
          <w:p>
            <w:pPr>
              <w:keepNext w:val="0"/>
              <w:keepLines w:val="0"/>
              <w:widowControl/>
              <w:suppressLineNumbers w:val="0"/>
              <w:jc w:val="center"/>
              <w:rPr>
                <w:vertAlign w:val="baseline"/>
              </w:rPr>
            </w:pPr>
            <w:r>
              <w:rPr>
                <w:rFonts w:ascii="FZKTK--GBK1-0" w:hAnsi="FZKTK--GBK1-0" w:eastAsia="FZKTK--GBK1-0" w:cs="FZKTK--GBK1-0"/>
                <w:color w:val="231F20"/>
                <w:kern w:val="0"/>
                <w:sz w:val="20"/>
                <w:szCs w:val="20"/>
                <w:lang w:val="en-US" w:eastAsia="zh-CN" w:bidi="ar"/>
              </w:rPr>
              <w:t>温胜凤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899" w:type="dxa"/>
            <w:vAlign w:val="center"/>
          </w:tcPr>
          <w:p>
            <w:pPr>
              <w:spacing w:line="360" w:lineRule="auto"/>
              <w:jc w:val="center"/>
              <w:rPr>
                <w:rFonts w:asciiTheme="minorHAnsi" w:hAnsiTheme="minorHAnsi" w:eastAsiaTheme="minorEastAsia" w:cstheme="minorBidi"/>
                <w:kern w:val="2"/>
                <w:sz w:val="21"/>
                <w:szCs w:val="24"/>
                <w:vertAlign w:val="baseline"/>
                <w:lang w:val="en-US" w:eastAsia="zh-CN" w:bidi="ar-SA"/>
              </w:rPr>
            </w:pPr>
            <w:r>
              <w:rPr>
                <w:rFonts w:hint="eastAsia" w:ascii="黑体" w:hAnsi="黑体" w:eastAsia="黑体" w:cs="黑体"/>
                <w:b/>
                <w:bCs/>
                <w:sz w:val="28"/>
                <w:szCs w:val="36"/>
                <w:lang w:val="en-US" w:eastAsia="zh-CN"/>
              </w:rPr>
              <w:t>【学习摘要】</w:t>
            </w:r>
          </w:p>
        </w:tc>
        <w:tc>
          <w:tcPr>
            <w:tcW w:w="6623" w:type="dxa"/>
          </w:tcPr>
          <w:p>
            <w:pPr>
              <w:keepNext w:val="0"/>
              <w:keepLines w:val="0"/>
              <w:widowControl/>
              <w:suppressLineNumbers w:val="0"/>
              <w:jc w:val="left"/>
              <w:rPr>
                <w:rFonts w:hint="eastAsia" w:ascii="新宋体" w:hAnsi="新宋体" w:eastAsia="新宋体" w:cs="新宋体"/>
                <w:color w:val="000000"/>
                <w:kern w:val="0"/>
                <w:sz w:val="24"/>
                <w:szCs w:val="24"/>
                <w:lang w:val="en-US" w:eastAsia="zh-CN" w:bidi="ar"/>
              </w:rPr>
            </w:pPr>
            <w:r>
              <w:rPr>
                <w:rFonts w:hint="eastAsia" w:ascii="新宋体" w:hAnsi="新宋体" w:eastAsia="新宋体" w:cs="新宋体"/>
                <w:color w:val="000000"/>
                <w:kern w:val="0"/>
                <w:sz w:val="24"/>
                <w:szCs w:val="24"/>
                <w:lang w:val="en-US" w:eastAsia="zh-CN" w:bidi="ar"/>
              </w:rPr>
              <w:t xml:space="preserve">1.对数学核心素养内涵的解读 </w:t>
            </w:r>
          </w:p>
          <w:p>
            <w:pPr>
              <w:keepNext w:val="0"/>
              <w:keepLines w:val="0"/>
              <w:widowControl/>
              <w:suppressLineNumbers w:val="0"/>
              <w:jc w:val="left"/>
              <w:rPr>
                <w:rFonts w:hint="default" w:ascii="新宋体" w:hAnsi="新宋体" w:eastAsia="新宋体" w:cs="新宋体"/>
                <w:color w:val="000000"/>
                <w:kern w:val="0"/>
                <w:sz w:val="24"/>
                <w:szCs w:val="24"/>
                <w:lang w:val="en-US" w:eastAsia="zh-CN" w:bidi="ar"/>
              </w:rPr>
            </w:pPr>
            <w:r>
              <w:rPr>
                <w:rFonts w:hint="eastAsia" w:ascii="新宋体" w:hAnsi="新宋体" w:eastAsia="新宋体" w:cs="新宋体"/>
                <w:color w:val="000000"/>
                <w:kern w:val="0"/>
                <w:sz w:val="24"/>
                <w:szCs w:val="24"/>
                <w:lang w:val="en-US" w:eastAsia="zh-CN" w:bidi="ar"/>
              </w:rPr>
              <w:t>所谓“数学核心素养”，是指《中国学生发展核心</w:t>
            </w:r>
            <w:r>
              <w:rPr>
                <w:rFonts w:hint="default" w:ascii="新宋体" w:hAnsi="新宋体" w:eastAsia="新宋体" w:cs="新宋体"/>
                <w:color w:val="000000"/>
                <w:kern w:val="0"/>
                <w:sz w:val="24"/>
                <w:szCs w:val="24"/>
                <w:lang w:val="en-US" w:eastAsia="zh-CN" w:bidi="ar"/>
              </w:rPr>
              <w:t xml:space="preserve">素养在数学学科的具体体现，它是学生在学习知识与技能时必须具备的能力和素养，它会推动学生朝着更加全面的方向发展。史宁中将小学数学核心素养总结为“三个维度”，其一，主张学生应该用数学的眼光去观察世界，即数学的“看”，这个素养可以帮助他们提升自身的数学抽象能力和直观想象能力，以此感悟数学知识的一般性和基础性。其二，主张学生应该用数学思维去思考世界，即数学的“想”，这个素养可以帮助学生提升自身的逻辑推理能力和数学运算能力，以此感悟数学知识的严谨性和科学性。其三，主张学生应该用数学语言去表达世界，即数学的“说”，这个素养可以帮助学生提升自身的数学模型构建能力和数据分析能力，以此感悟数学知识应用的广泛性和普遍性。并且，这三个维度都要求学生具备一定的阅读能力，以此更好地去“看”“想”“说”，提高学生的综合素养。 </w:t>
            </w:r>
          </w:p>
          <w:p>
            <w:pPr>
              <w:keepNext w:val="0"/>
              <w:keepLines w:val="0"/>
              <w:widowControl/>
              <w:suppressLineNumbers w:val="0"/>
              <w:jc w:val="left"/>
              <w:rPr>
                <w:rFonts w:hint="default" w:ascii="新宋体" w:hAnsi="新宋体" w:eastAsia="新宋体" w:cs="新宋体"/>
                <w:color w:val="000000"/>
                <w:kern w:val="0"/>
                <w:sz w:val="24"/>
                <w:szCs w:val="24"/>
                <w:lang w:val="en-US" w:eastAsia="zh-CN" w:bidi="ar"/>
              </w:rPr>
            </w:pPr>
            <w:r>
              <w:rPr>
                <w:rFonts w:hint="default" w:ascii="新宋体" w:hAnsi="新宋体" w:eastAsia="新宋体" w:cs="新宋体"/>
                <w:color w:val="000000"/>
                <w:kern w:val="0"/>
                <w:sz w:val="24"/>
                <w:szCs w:val="24"/>
                <w:lang w:val="en-US" w:eastAsia="zh-CN" w:bidi="ar"/>
              </w:rPr>
              <w:t xml:space="preserve">2.影响小学数学阅读教学开展的主要因素 </w:t>
            </w:r>
          </w:p>
          <w:p>
            <w:pPr>
              <w:keepNext w:val="0"/>
              <w:keepLines w:val="0"/>
              <w:widowControl/>
              <w:suppressLineNumbers w:val="0"/>
              <w:jc w:val="left"/>
              <w:rPr>
                <w:rFonts w:hint="default" w:ascii="新宋体" w:hAnsi="新宋体" w:eastAsia="新宋体" w:cs="新宋体"/>
                <w:color w:val="000000"/>
                <w:kern w:val="0"/>
                <w:sz w:val="24"/>
                <w:szCs w:val="24"/>
                <w:lang w:val="en-US" w:eastAsia="zh-CN" w:bidi="ar"/>
              </w:rPr>
            </w:pPr>
            <w:r>
              <w:rPr>
                <w:rFonts w:hint="default" w:ascii="新宋体" w:hAnsi="新宋体" w:eastAsia="新宋体" w:cs="新宋体"/>
                <w:color w:val="000000"/>
                <w:kern w:val="0"/>
                <w:sz w:val="24"/>
                <w:szCs w:val="24"/>
                <w:lang w:val="en-US" w:eastAsia="zh-CN" w:bidi="ar"/>
              </w:rPr>
              <w:t xml:space="preserve">（1）课程因素 </w:t>
            </w:r>
          </w:p>
          <w:p>
            <w:pPr>
              <w:keepNext w:val="0"/>
              <w:keepLines w:val="0"/>
              <w:widowControl/>
              <w:suppressLineNumbers w:val="0"/>
              <w:jc w:val="left"/>
              <w:rPr>
                <w:rFonts w:hint="default" w:ascii="新宋体" w:hAnsi="新宋体" w:eastAsia="新宋体" w:cs="新宋体"/>
                <w:color w:val="000000"/>
                <w:kern w:val="0"/>
                <w:sz w:val="24"/>
                <w:szCs w:val="24"/>
                <w:lang w:val="en-US" w:eastAsia="zh-CN" w:bidi="ar"/>
              </w:rPr>
            </w:pPr>
            <w:r>
              <w:rPr>
                <w:rFonts w:hint="default" w:ascii="新宋体" w:hAnsi="新宋体" w:eastAsia="新宋体" w:cs="新宋体"/>
                <w:color w:val="000000"/>
                <w:kern w:val="0"/>
                <w:sz w:val="24"/>
                <w:szCs w:val="24"/>
                <w:lang w:val="en-US" w:eastAsia="zh-CN" w:bidi="ar"/>
              </w:rPr>
              <w:t xml:space="preserve">小学数学课程自身由于所涉及的问题较多，需要学生掌握的知识也较多，所以简单地说，小学数学课程本身就是数学问题的设置，该课程的教育环节不会将直接的答案和重要的内容罗列出来，而是将这些知识和技能融入生活素材或者实际情况中，需要学生进行一定的计算，才能将这些知识进行深刻的总结和分析，以此进行数学知识的内化，促使这些内容为自己所用。 </w:t>
            </w:r>
          </w:p>
          <w:p>
            <w:pPr>
              <w:keepNext w:val="0"/>
              <w:keepLines w:val="0"/>
              <w:widowControl/>
              <w:suppressLineNumbers w:val="0"/>
              <w:jc w:val="left"/>
              <w:rPr>
                <w:vertAlign w:val="baseline"/>
              </w:rPr>
            </w:pPr>
            <w:r>
              <w:rPr>
                <w:rFonts w:hint="default" w:ascii="新宋体" w:hAnsi="新宋体" w:eastAsia="新宋体" w:cs="新宋体"/>
                <w:color w:val="000000"/>
                <w:kern w:val="0"/>
                <w:sz w:val="24"/>
                <w:szCs w:val="24"/>
                <w:lang w:val="en-US" w:eastAsia="zh-CN" w:bidi="ar"/>
              </w:rPr>
              <w:t>这就要求学生必须具备相应的阅读能力，才能将这些过多的数学问题进行有效的分析和整理，进而从中选择有用的信息。但是，学生由于年龄较小，对数学学科的认知较为薄弱，对数学问题的判断能力不足，很难从中找寻到有用的信息和数据。所以，这就推动了小学数学阅读教育工作的开展，只有小学数学教师借助自身的专业素养影响学生的阅读能力，才能促使他们形成自主学习的习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9" w:type="dxa"/>
            <w:vAlign w:val="center"/>
          </w:tcPr>
          <w:p>
            <w:pPr>
              <w:jc w:val="center"/>
              <w:rPr>
                <w:vertAlign w:val="baseline"/>
              </w:rPr>
            </w:pPr>
            <w:r>
              <w:rPr>
                <w:rFonts w:hint="eastAsia" w:ascii="黑体" w:hAnsi="黑体" w:eastAsia="黑体" w:cs="黑体"/>
                <w:b/>
                <w:bCs/>
                <w:sz w:val="28"/>
                <w:szCs w:val="36"/>
                <w:lang w:val="en-US" w:eastAsia="zh-CN"/>
              </w:rPr>
              <w:t>【学习反思】</w:t>
            </w:r>
          </w:p>
        </w:tc>
        <w:tc>
          <w:tcPr>
            <w:tcW w:w="6623" w:type="dxa"/>
          </w:tcPr>
          <w:p>
            <w:pPr>
              <w:keepNext w:val="0"/>
              <w:keepLines w:val="0"/>
              <w:widowControl/>
              <w:suppressLineNumbers w:val="0"/>
              <w:jc w:val="left"/>
              <w:rPr>
                <w:rFonts w:hint="eastAsia" w:eastAsiaTheme="minorEastAsia"/>
                <w:vertAlign w:val="baseline"/>
                <w:lang w:eastAsia="zh-CN"/>
              </w:rPr>
            </w:pPr>
            <w:r>
              <w:rPr>
                <w:rFonts w:hint="default" w:ascii="新宋体" w:hAnsi="新宋体" w:eastAsia="新宋体" w:cs="新宋体"/>
                <w:color w:val="000000"/>
                <w:kern w:val="0"/>
                <w:sz w:val="24"/>
                <w:szCs w:val="24"/>
                <w:lang w:val="en-US" w:eastAsia="zh-CN" w:bidi="ar"/>
              </w:rPr>
              <w:t>阅读能力是小学数学核心素养中的一个重要组成部分，它的好坏在很大程度上影响着学生的自主学习能力和审题能力，可以推动学生更加深刻地理解数学课题，并且将所学知识应用到生活中，解决现实生活中的问题。对此，作为小学数学教师，应该认识到阅读能力的重要性，并解读数学核心素养的具体内涵，再制定相应的教学策略，如创设阅读情境，培养学习兴趣、设计阅读问题，发散数学思维等，以此从整体上提高学生的数学学习水平。</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FZKTK--GBK1-0">
    <w:altName w:val="Segoe Print"/>
    <w:panose1 w:val="00000000000000000000"/>
    <w:charset w:val="00"/>
    <w:family w:val="auto"/>
    <w:pitch w:val="default"/>
    <w:sig w:usb0="00000000" w:usb1="00000000" w:usb2="00000000" w:usb3="00000000" w:csb0="00000000" w:csb1="00000000"/>
  </w:font>
  <w:font w:name="新宋体">
    <w:panose1 w:val="02010609030101010101"/>
    <w:charset w:val="86"/>
    <w:family w:val="auto"/>
    <w:pitch w:val="default"/>
    <w:sig w:usb0="00000003" w:usb1="288F0000" w:usb2="0000000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ViZWExMGI4ODkwMWM0MjJhODNlNzc0MzhmZmUyNTUifQ=="/>
  </w:docVars>
  <w:rsids>
    <w:rsidRoot w:val="25DE4717"/>
    <w:rsid w:val="06096C5E"/>
    <w:rsid w:val="25DE4717"/>
    <w:rsid w:val="264644C0"/>
    <w:rsid w:val="384B4F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table" w:styleId="4">
    <w:name w:val="Table Grid"/>
    <w:basedOn w:val="3"/>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990</Words>
  <Characters>997</Characters>
  <Lines>0</Lines>
  <Paragraphs>0</Paragraphs>
  <TotalTime>10</TotalTime>
  <ScaleCrop>false</ScaleCrop>
  <LinksUpToDate>false</LinksUpToDate>
  <CharactersWithSpaces>1024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2022-06-28T00:47:00Z</dcterms:created>
  <dc:creator>肉多多wsy</dc:creator>
  <cp:lastModifiedBy>Administrator</cp:lastModifiedBy>
  <dcterms:modified xsi:type="dcterms:W3CDTF">2023-06-25T09:08:21Z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8A85B1803DDF4179BC1FC137E7CB4AE4</vt:lpwstr>
  </property>
</Properties>
</file>