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42"/>
        <w:ind w:left="0" w:leftChars="0" w:firstLine="0" w:firstLineChars="0"/>
        <w:jc w:val="center"/>
        <w:rPr>
          <w:color w:val="231F20"/>
          <w:sz w:val="30"/>
          <w:szCs w:val="30"/>
        </w:rPr>
      </w:pPr>
      <w:r>
        <w:rPr>
          <w:color w:val="231F20"/>
          <w:sz w:val="30"/>
          <w:szCs w:val="30"/>
        </w:rPr>
        <w:t>任务驱动：指向核心素养的单元整体教学</w:t>
      </w:r>
    </w:p>
    <w:p>
      <w:pPr>
        <w:pStyle w:val="2"/>
        <w:spacing w:before="142"/>
        <w:ind w:left="0" w:leftChars="0" w:firstLine="0" w:firstLineChars="0"/>
        <w:jc w:val="center"/>
        <w:rPr>
          <w:color w:val="231F20"/>
          <w:spacing w:val="9"/>
          <w:w w:val="102"/>
          <w:sz w:val="26"/>
        </w:rPr>
      </w:pPr>
      <w:r>
        <w:rPr>
          <w:rFonts w:hint="eastAsia"/>
          <w:color w:val="231F20"/>
          <w:sz w:val="30"/>
          <w:szCs w:val="30"/>
          <w:lang w:val="en-US" w:eastAsia="zh-CN"/>
        </w:rPr>
        <w:t xml:space="preserve">                    ---</w:t>
      </w:r>
      <w:r>
        <w:rPr>
          <w:color w:val="231F20"/>
          <w:spacing w:val="10"/>
          <w:w w:val="102"/>
          <w:sz w:val="26"/>
        </w:rPr>
        <w:t>以五年级上册</w:t>
      </w:r>
      <w:r>
        <w:rPr>
          <w:color w:val="231F20"/>
          <w:spacing w:val="23"/>
          <w:sz w:val="26"/>
        </w:rPr>
        <w:t xml:space="preserve"> </w:t>
      </w:r>
      <w:r>
        <w:rPr>
          <w:rFonts w:ascii="Arial" w:hAnsi="Arial" w:eastAsia="Arial"/>
          <w:color w:val="231F20"/>
          <w:spacing w:val="6"/>
          <w:w w:val="153"/>
          <w:sz w:val="26"/>
        </w:rPr>
        <w:t>“</w:t>
      </w:r>
      <w:r>
        <w:rPr>
          <w:color w:val="231F20"/>
          <w:spacing w:val="13"/>
          <w:w w:val="102"/>
          <w:sz w:val="26"/>
        </w:rPr>
        <w:t>民间故事</w:t>
      </w:r>
      <w:r>
        <w:rPr>
          <w:rFonts w:ascii="Arial" w:hAnsi="Arial" w:eastAsia="Arial"/>
          <w:color w:val="231F20"/>
          <w:w w:val="153"/>
          <w:sz w:val="26"/>
        </w:rPr>
        <w:t>”</w:t>
      </w:r>
      <w:r>
        <w:rPr>
          <w:rFonts w:ascii="Arial" w:hAnsi="Arial" w:eastAsia="Arial"/>
          <w:color w:val="231F20"/>
          <w:spacing w:val="1"/>
          <w:sz w:val="26"/>
        </w:rPr>
        <w:t xml:space="preserve">  </w:t>
      </w:r>
      <w:r>
        <w:rPr>
          <w:color w:val="231F20"/>
          <w:spacing w:val="9"/>
          <w:w w:val="102"/>
          <w:sz w:val="26"/>
        </w:rPr>
        <w:t>单元</w:t>
      </w:r>
      <w:r>
        <w:rPr>
          <w:rFonts w:hint="eastAsia"/>
          <w:color w:val="231F20"/>
          <w:spacing w:val="9"/>
          <w:w w:val="102"/>
          <w:sz w:val="26"/>
          <w:lang w:val="en-US" w:eastAsia="zh-CN"/>
        </w:rPr>
        <w:t>为</w:t>
      </w:r>
      <w:r>
        <w:rPr>
          <w:color w:val="231F20"/>
          <w:spacing w:val="9"/>
          <w:w w:val="102"/>
          <w:sz w:val="26"/>
        </w:rPr>
        <w:t>例</w:t>
      </w:r>
    </w:p>
    <w:p>
      <w:pPr>
        <w:spacing w:before="0"/>
        <w:ind w:left="1524" w:right="0" w:firstLine="0"/>
        <w:jc w:val="center"/>
        <w:rPr>
          <w:sz w:val="21"/>
        </w:rPr>
      </w:pPr>
      <w:r>
        <w:rPr>
          <w:color w:val="231F20"/>
          <w:sz w:val="19"/>
        </w:rPr>
        <w:t xml:space="preserve">文 </w:t>
      </w:r>
      <w:r>
        <w:rPr>
          <w:rFonts w:ascii="Arial" w:eastAsia="Arial"/>
          <w:i/>
          <w:color w:val="BCBEC0"/>
          <w:sz w:val="21"/>
        </w:rPr>
        <w:t xml:space="preserve">/ </w:t>
      </w:r>
      <w:r>
        <w:rPr>
          <w:color w:val="231F20"/>
          <w:sz w:val="21"/>
        </w:rPr>
        <w:t>杨楚玢</w:t>
      </w:r>
    </w:p>
    <w:p/>
    <w:p>
      <w:pPr>
        <w:pStyle w:val="3"/>
        <w:rPr>
          <w:sz w:val="20"/>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4"/>
          <w:szCs w:val="24"/>
        </w:rPr>
      </w:pPr>
      <w:r>
        <w:rPr>
          <w:rFonts w:hint="eastAsia"/>
          <w:sz w:val="24"/>
          <w:szCs w:val="24"/>
        </w:rPr>
        <w:t>[摘要] 单元整体教学应通过任务驱动开展教学活动， 引导学生在学习任 务中提升核心素养。 本文以统编小学语文教科书五年级上册第三单元为例， 探讨任务驱动视域下的单元整体教学实施路径。</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sz w:val="24"/>
          <w:szCs w:val="24"/>
        </w:rPr>
      </w:pPr>
      <w:r>
        <w:rPr>
          <w:rFonts w:hint="eastAsia"/>
          <w:sz w:val="24"/>
          <w:szCs w:val="24"/>
        </w:rPr>
        <w:t xml:space="preserve">[关键词] 任务驱动; 核心素养; 单元整体教学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rPr>
      </w:pPr>
      <w:r>
        <w:rPr>
          <w:rFonts w:hint="eastAsia"/>
          <w:sz w:val="24"/>
          <w:szCs w:val="24"/>
        </w:rPr>
        <w:t>《义务教育语文课程标准 (2022 年版)》 (以 下简称 2022 年版课标) 指出，义务教育语文课程 内容主要以学习任务群组织与呈现。设计语文学习 任务，要围绕特定学习主题，确定具有内在逻辑关联的语文实践活动。语文学习任务群由相互关联的 系列学习任务组成，共同指向核心素养发展，具有 情境性、实践性、综合性的特点。虽然教科书是遵 循从读到写的线性结构编排的，但逐篇讲授课文容 易忽略教材编排的隐性逻辑和“双线组元”的编写 思路，因此，教师可以统整阅读、习作、口语交际、“语文园地”“快乐读书吧”等模块，围绕单 元主题，设计基于真实情境的语文学习任务，让学 生通过自主、合作、探究学习，将传统以传授知识 为主的课堂转变为以解决问题、完成任务为主的多 维互动式的课堂，以任务驱动发展学生的核心素 养。本文以统编小学语文教科书五年级上册第三单 元为例进行分析。</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textAlignment w:val="auto"/>
        <w:rPr>
          <w:rFonts w:hint="eastAsia"/>
          <w:b/>
          <w:bCs/>
          <w:sz w:val="24"/>
          <w:szCs w:val="24"/>
        </w:rPr>
      </w:pPr>
      <w:r>
        <w:rPr>
          <w:rFonts w:hint="eastAsia"/>
          <w:b/>
          <w:bCs/>
          <w:sz w:val="24"/>
          <w:szCs w:val="24"/>
        </w:rPr>
        <w:t>找准起点，确立指向核心素养的单元目标</w:t>
      </w:r>
    </w:p>
    <w:p>
      <w:pPr>
        <w:keepNext w:val="0"/>
        <w:keepLines w:val="0"/>
        <w:pageBreakBefore w:val="0"/>
        <w:widowControl w:val="0"/>
        <w:numPr>
          <w:numId w:val="0"/>
        </w:numPr>
        <w:kinsoku/>
        <w:wordWrap/>
        <w:overflowPunct/>
        <w:topLinePunct w:val="0"/>
        <w:autoSpaceDE w:val="0"/>
        <w:autoSpaceDN w:val="0"/>
        <w:bidi w:val="0"/>
        <w:adjustRightInd/>
        <w:snapToGrid/>
        <w:spacing w:line="360" w:lineRule="auto"/>
        <w:ind w:right="0" w:rightChars="0" w:firstLine="480" w:firstLineChars="200"/>
        <w:textAlignment w:val="auto"/>
        <w:rPr>
          <w:rFonts w:hint="eastAsia"/>
          <w:sz w:val="24"/>
          <w:szCs w:val="24"/>
          <w:lang w:val="en-US" w:eastAsia="zh-CN"/>
        </w:rPr>
      </w:pPr>
      <w:r>
        <w:rPr>
          <w:rFonts w:hint="eastAsia"/>
          <w:sz w:val="24"/>
          <w:szCs w:val="24"/>
        </w:rPr>
        <w:t>统编小学语文教科书中的单元语文要素是按照能力发展的梯度安排的，前一梯度的能力点往往会在后续的教学实践中反复训练落实。这就要求教师对教学日标的序列进行统筹观照。本单元的语文要素是“了解课文内容，创造性地复述故事”。“复述”这一语文要素在三年级的教材中第一次出现，随着年级的升高，训练重点不断发生变化：三年级聚焦按序复述，要求学生借助表格、示意图等形式，用</w:t>
      </w:r>
      <w:r>
        <w:rPr>
          <w:rFonts w:hint="eastAsia"/>
          <w:sz w:val="24"/>
          <w:szCs w:val="24"/>
          <w:lang w:val="en-US" w:eastAsia="zh-CN"/>
        </w:rPr>
        <w:t>自己的话按序复述，训练有条理地表达;四年级聚焦简 要复述，要求学生运用表示顺序的词句，按照事情发 展顺序复述，训练概括和提炼能力;五年级聚焦创 造性复述，要求学生转换人称、想象故事的合理情 节、变换情节顺序等，培养创造性思维能力。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同时，本单元课后习题、口语交际、“语文园 地”中的“交流平台”和“词句段运用”等模块， 都安排了创造性复述故事的学习。比如，《牛郎织女 (二)》 课后布置了“绘制连环画”的任务，引导 学生使用媒介辅助复述以增强趣味性;“交流平台” 提示了“讲故事的时候，可以配上相应的动作和表 情”，引导学生立足真实的情境，培养听众意识等。 基于此，我将单元整体教学目标确立为:1运用已 学的阅读策略阅读民间故事，学习字词，把握故事 主要内容，感受民间故事的魅力，树立自觉传承中 华优秀传统文化的意识。2掌握创造性复述的基本 方法，学会缩写民间故事，选用合理媒介辅助学习。 3通过自主学习、合作探究，初步了解民间故事在 情节安排、大胆想象、形象塑造、情感表达、语言 风格等方面的特点。其中，目标1指向“审美创造” 和“文化自信”的核心素养，目标2为本单元核心 目标，指向“语言运用”的核心素养，目标3指向“思维能力”的核心素养，由此，学生在自主和协作学习的过程中，就能获得能力的提高和素养的提升。</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leftChars="0" w:firstLine="0" w:firstLineChars="0"/>
        <w:textAlignment w:val="auto"/>
        <w:rPr>
          <w:rFonts w:hint="eastAsia"/>
          <w:b/>
          <w:bCs/>
          <w:sz w:val="24"/>
          <w:szCs w:val="24"/>
          <w:lang w:val="en-US" w:eastAsia="zh-CN"/>
        </w:rPr>
      </w:pPr>
      <w:r>
        <w:rPr>
          <w:rFonts w:hint="eastAsia"/>
          <w:b/>
          <w:bCs/>
          <w:sz w:val="24"/>
          <w:szCs w:val="24"/>
          <w:lang w:val="en-US" w:eastAsia="zh-CN"/>
        </w:rPr>
        <w:t>统整内容，设计基于素养提升的单元任务</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159" w:right="142"/>
        <w:jc w:val="both"/>
        <w:textAlignment w:val="auto"/>
        <w:rPr>
          <w:rFonts w:hint="eastAsia" w:ascii="宋体" w:hAnsi="宋体" w:eastAsia="宋体" w:cs="宋体"/>
          <w:sz w:val="24"/>
          <w:szCs w:val="24"/>
          <w:lang w:val="en-US" w:eastAsia="zh-CN" w:bidi="zh-CN"/>
        </w:rPr>
      </w:pPr>
      <w:r>
        <w:rPr>
          <w:rFonts w:hint="eastAsia"/>
          <w:sz w:val="24"/>
          <w:szCs w:val="24"/>
          <w:lang w:val="en-US" w:eastAsia="zh-CN"/>
        </w:rPr>
        <w:t xml:space="preserve">  </w:t>
      </w:r>
      <w:r>
        <w:rPr>
          <w:rFonts w:hint="eastAsia" w:ascii="宋体" w:hAnsi="宋体" w:eastAsia="宋体" w:cs="宋体"/>
          <w:sz w:val="24"/>
          <w:szCs w:val="24"/>
          <w:lang w:val="en-US" w:eastAsia="zh-CN" w:bidi="zh-CN"/>
        </w:rPr>
        <w:t>对于五年级的学生而言，了解创造性的复述的策略略并不难，关键是如何在“认知→实践→迁移”的过程中形成对应的核心素养。为此，我整合了本单元的各个教学板块，设计了一个基于真实情境的综合性学习任务，并以“通读—精读—共读”的思路设计“子任务” （如图 1）。</w:t>
      </w:r>
    </w:p>
    <w:p>
      <w:pPr>
        <w:pStyle w:val="3"/>
        <w:spacing w:before="8"/>
        <w:rPr>
          <w:sz w:val="8"/>
        </w:rPr>
      </w:pPr>
      <w:r>
        <w:rPr>
          <w:rFonts w:hint="eastAsia" w:cs="宋体"/>
          <w:sz w:val="22"/>
          <w:szCs w:val="22"/>
          <w:lang w:val="en-US" w:eastAsia="zh-CN" w:bidi="zh-CN"/>
        </w:rPr>
        <w:t xml:space="preserve">  </w:t>
      </w:r>
    </w:p>
    <w:p>
      <w:pPr>
        <w:pStyle w:val="3"/>
        <w:spacing w:line="186" w:lineRule="exact"/>
        <w:ind w:left="2780"/>
        <w:rPr>
          <w:sz w:val="19"/>
        </w:rPr>
      </w:pPr>
      <w:r>
        <w:rPr>
          <w:position w:val="-3"/>
          <w:sz w:val="19"/>
        </w:rPr>
        <mc:AlternateContent>
          <mc:Choice Requires="wps">
            <w:drawing>
              <wp:inline distT="0" distB="0" distL="114300" distR="114300">
                <wp:extent cx="378460" cy="114300"/>
                <wp:effectExtent l="4445" t="4445" r="13335" b="18415"/>
                <wp:docPr id="1" name="文本框 1"/>
                <wp:cNvGraphicFramePr/>
                <a:graphic xmlns:a="http://schemas.openxmlformats.org/drawingml/2006/main">
                  <a:graphicData uri="http://schemas.microsoft.com/office/word/2010/wordprocessingShape">
                    <wps:wsp>
                      <wps:cNvSpPr txBox="1"/>
                      <wps:spPr>
                        <a:xfrm>
                          <a:off x="0" y="0"/>
                          <a:ext cx="378460" cy="114300"/>
                        </a:xfrm>
                        <a:prstGeom prst="rect">
                          <a:avLst/>
                        </a:prstGeom>
                        <a:noFill/>
                        <a:ln w="3810" cap="flat" cmpd="sng">
                          <a:solidFill>
                            <a:srgbClr val="231F20"/>
                          </a:solidFill>
                          <a:prstDash val="solid"/>
                          <a:miter/>
                          <a:headEnd type="none" w="med" len="med"/>
                          <a:tailEnd type="none" w="med" len="med"/>
                        </a:ln>
                      </wps:spPr>
                      <wps:txbx>
                        <w:txbxContent>
                          <w:p>
                            <w:pPr>
                              <w:spacing w:before="11"/>
                              <w:ind w:left="97" w:right="0" w:firstLine="0"/>
                              <w:jc w:val="left"/>
                              <w:rPr>
                                <w:sz w:val="10"/>
                              </w:rPr>
                            </w:pPr>
                            <w:r>
                              <w:rPr>
                                <w:color w:val="231F20"/>
                                <w:w w:val="105"/>
                                <w:sz w:val="10"/>
                              </w:rPr>
                              <w:t>课上精读</w:t>
                            </w:r>
                          </w:p>
                        </w:txbxContent>
                      </wps:txbx>
                      <wps:bodyPr lIns="0" tIns="0" rIns="0" bIns="0" upright="1"/>
                    </wps:wsp>
                  </a:graphicData>
                </a:graphic>
              </wp:inline>
            </w:drawing>
          </mc:Choice>
          <mc:Fallback>
            <w:pict>
              <v:shape id="_x0000_s1026" o:spid="_x0000_s1026" o:spt="202" type="#_x0000_t202" style="height:9pt;width:29.8pt;" filled="f" stroked="t" coordsize="21600,21600" o:gfxdata="UEsDBAoAAAAAAIdO4kAAAAAAAAAAAAAAAAAEAAAAZHJzL1BLAwQUAAAACACHTuJATeh8p9IAAAAD&#10;AQAADwAAAGRycy9kb3ducmV2LnhtbE2PwU7DMBBE70j8g7VI3KhdEKWEOD0UKnrg0tIP2MZLEiVe&#10;R7HbpH/PwgUuI61mNPM2X02+U2caYhPYwnxmQBGXwTVcWTh8bu6WoGJCdtgFJgsXirAqrq9yzFwY&#10;eUfnfaqUlHDM0EKdUp9pHcuaPMZZ6InF+wqDxyTnUGk34CjlvtP3xiy0x4Zlocae1jWV7f7kLYzb&#10;p/awnvSA9MGb12r79nB5b629vZmbF1CJpvQXhh98QYdCmI7hxC6qzoI8kn5VvMfnBaijZJYGdJHr&#10;/+zFN1BLAwQUAAAACACHTuJAa1e3gRICAAAwBAAADgAAAGRycy9lMm9Eb2MueG1srVPNjtMwEL4j&#10;8Q6W7zRNu1qqqOlKUIqQECAtPIBrO4kl/8njNukLwBtw4sKd5+pzMHbaLrt76YFLMp4ZfzPfN+Pl&#10;3WA02csAytmalpMpJdJyJ5Rta/rt6+bVghKIzAqmnZU1PUigd6uXL5a9r+TMdU4LGQiCWKh6X9Mu&#10;Rl8VBfBOGgYT56XFYOOCYRGPoS1EYD2iG13MptPbondB+OC4BEDvegzSE2K4BtA1jeJy7fjOSBtH&#10;1CA1i0gJOuWBrnK3TSN5/Nw0ICPRNUWmMX+xCNrb9C1WS1a1gflO8VML7JoWnnAyTFkseoFas8jI&#10;LqhnUEbx4MA1ccKdKUYiWRFkUU6faHPfMS8zF5Qa/EV0+H+w/NP+SyBK4CZQYpnBgR9//jj++nP8&#10;/Z2USZ7eQ4VZ9x7z4vDGDSn15Ad0JtZDE0z6Ix+CcRT3cBFXDpFwdM5fL25uMcIxVJY382kWv3i4&#10;7APE99IZkoyaBpxdlpTtP0LEgph6Tkm1rNsorfP8tCU9FliUCZ7hTja4C2gaj7zAthkGnFYiXUmX&#10;IbTbtzqQPcO9mM3LzezczaO0VG/NoBvzcmjcGKOiDLl2J5l4ZwWJB4/aWXwyNDVjpKBES3xhycqZ&#10;kSl9TSby1BbpJuFHgZMVh+2AMMncOnHAYegPFhcBKcezEc7G9mzsfFBth2rmkWVIXKSs5Wnp06b+&#10;e86FHx76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6Hyn0gAAAAMBAAAPAAAAAAAAAAEAIAAA&#10;ACIAAABkcnMvZG93bnJldi54bWxQSwECFAAUAAAACACHTuJAa1e3gRICAAAwBAAADgAAAAAAAAAB&#10;ACAAAAAhAQAAZHJzL2Uyb0RvYy54bWxQSwUGAAAAAAYABgBZAQAApQUAAAAA&#10;">
                <v:fill on="f" focussize="0,0"/>
                <v:stroke weight="0.3pt" color="#231F20" joinstyle="miter"/>
                <v:imagedata o:title=""/>
                <o:lock v:ext="edit" aspectratio="f"/>
                <v:textbox inset="0mm,0mm,0mm,0mm">
                  <w:txbxContent>
                    <w:p>
                      <w:pPr>
                        <w:spacing w:before="11"/>
                        <w:ind w:left="97" w:right="0" w:firstLine="0"/>
                        <w:jc w:val="left"/>
                        <w:rPr>
                          <w:sz w:val="10"/>
                        </w:rPr>
                      </w:pPr>
                      <w:r>
                        <w:rPr>
                          <w:color w:val="231F20"/>
                          <w:w w:val="105"/>
                          <w:sz w:val="10"/>
                        </w:rPr>
                        <w:t>课上精读</w:t>
                      </w:r>
                    </w:p>
                  </w:txbxContent>
                </v:textbox>
                <w10:wrap type="none"/>
                <w10:anchorlock/>
              </v:shape>
            </w:pict>
          </mc:Fallback>
        </mc:AlternateContent>
      </w:r>
    </w:p>
    <w:p>
      <w:pPr>
        <w:pStyle w:val="3"/>
        <w:rPr>
          <w:sz w:val="20"/>
        </w:rPr>
      </w:pPr>
    </w:p>
    <w:p>
      <w:pPr>
        <w:pStyle w:val="3"/>
        <w:spacing w:before="5"/>
        <w:rPr>
          <w:sz w:val="15"/>
        </w:rPr>
      </w:pPr>
    </w:p>
    <w:tbl>
      <w:tblPr>
        <w:tblStyle w:val="4"/>
        <w:tblW w:w="0" w:type="auto"/>
        <w:tblInd w:w="1614"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618"/>
        <w:gridCol w:w="230"/>
        <w:gridCol w:w="1054"/>
        <w:gridCol w:w="206"/>
        <w:gridCol w:w="91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6" w:hRule="atLeast"/>
        </w:trPr>
        <w:tc>
          <w:tcPr>
            <w:tcW w:w="1618" w:type="dxa"/>
            <w:tcBorders>
              <w:top w:val="nil"/>
              <w:left w:val="nil"/>
              <w:right w:val="nil"/>
            </w:tcBorders>
          </w:tcPr>
          <w:p>
            <w:pPr>
              <w:pStyle w:val="6"/>
              <w:rPr>
                <w:rFonts w:ascii="Times New Roman"/>
                <w:sz w:val="10"/>
              </w:rPr>
            </w:pPr>
          </w:p>
        </w:tc>
        <w:tc>
          <w:tcPr>
            <w:tcW w:w="230" w:type="dxa"/>
            <w:vMerge w:val="restart"/>
            <w:tcBorders>
              <w:top w:val="nil"/>
              <w:bottom w:val="single" w:color="231F20" w:sz="4" w:space="0"/>
              <w:right w:val="double" w:color="231F20" w:sz="0" w:space="0"/>
            </w:tcBorders>
          </w:tcPr>
          <w:p>
            <w:pPr>
              <w:pStyle w:val="6"/>
              <w:rPr>
                <w:rFonts w:ascii="Times New Roman"/>
                <w:sz w:val="20"/>
              </w:rPr>
            </w:pPr>
          </w:p>
        </w:tc>
        <w:tc>
          <w:tcPr>
            <w:tcW w:w="2171" w:type="dxa"/>
            <w:gridSpan w:val="3"/>
            <w:tcBorders>
              <w:top w:val="single" w:color="231F20" w:sz="4" w:space="0"/>
              <w:left w:val="double" w:color="231F20" w:sz="0" w:space="0"/>
              <w:bottom w:val="single" w:color="231F20" w:sz="4" w:space="0"/>
            </w:tcBorders>
          </w:tcPr>
          <w:p>
            <w:pPr>
              <w:pStyle w:val="6"/>
              <w:spacing w:before="28" w:line="121" w:lineRule="exact"/>
              <w:ind w:left="60"/>
              <w:rPr>
                <w:sz w:val="10"/>
              </w:rPr>
            </w:pPr>
            <w:r>
              <w:rPr>
                <w:color w:val="231F20"/>
                <w:w w:val="105"/>
                <w:sz w:val="10"/>
              </w:rPr>
              <w:t>创造性复述课内民间故事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2" w:hRule="atLeast"/>
        </w:trPr>
        <w:tc>
          <w:tcPr>
            <w:tcW w:w="1618" w:type="dxa"/>
            <w:vMerge w:val="restart"/>
          </w:tcPr>
          <w:p>
            <w:pPr>
              <w:pStyle w:val="6"/>
              <w:spacing w:before="55"/>
              <w:ind w:left="41"/>
              <w:rPr>
                <w:sz w:val="14"/>
              </w:rPr>
            </w:pPr>
            <w:r>
              <w:rPr>
                <w:color w:val="231F20"/>
                <w:w w:val="90"/>
                <w:sz w:val="14"/>
              </w:rPr>
              <w:t>民间故事我讲述</w:t>
            </w:r>
          </w:p>
        </w:tc>
        <w:tc>
          <w:tcPr>
            <w:tcW w:w="230" w:type="dxa"/>
            <w:vMerge w:val="continue"/>
            <w:tcBorders>
              <w:top w:val="nil"/>
              <w:bottom w:val="single" w:color="231F20" w:sz="4" w:space="0"/>
              <w:right w:val="double" w:color="231F20" w:sz="0" w:space="0"/>
            </w:tcBorders>
          </w:tcPr>
          <w:p>
            <w:pPr>
              <w:rPr>
                <w:sz w:val="2"/>
                <w:szCs w:val="2"/>
              </w:rPr>
            </w:pPr>
          </w:p>
        </w:tc>
        <w:tc>
          <w:tcPr>
            <w:tcW w:w="1054" w:type="dxa"/>
            <w:vMerge w:val="restart"/>
            <w:tcBorders>
              <w:top w:val="single" w:color="231F20" w:sz="4" w:space="0"/>
              <w:left w:val="double" w:color="231F20" w:sz="0" w:space="0"/>
              <w:bottom w:val="double" w:color="231F20" w:sz="0" w:space="0"/>
              <w:right w:val="single" w:color="231F20" w:sz="4" w:space="0"/>
            </w:tcBorders>
          </w:tcPr>
          <w:p>
            <w:pPr>
              <w:pStyle w:val="6"/>
              <w:spacing w:before="83"/>
              <w:ind w:left="60"/>
              <w:rPr>
                <w:sz w:val="10"/>
              </w:rPr>
            </w:pPr>
            <w:r>
              <w:rPr>
                <w:color w:val="231F20"/>
                <w:w w:val="105"/>
                <w:sz w:val="10"/>
              </w:rPr>
              <w:t>民间故事会</w:t>
            </w:r>
          </w:p>
        </w:tc>
        <w:tc>
          <w:tcPr>
            <w:tcW w:w="1117" w:type="dxa"/>
            <w:gridSpan w:val="2"/>
            <w:vMerge w:val="restart"/>
            <w:tcBorders>
              <w:top w:val="single" w:color="231F20" w:sz="4" w:space="0"/>
              <w:left w:val="single" w:color="231F20" w:sz="4" w:space="0"/>
              <w:bottom w:val="nil"/>
              <w:right w:val="nil"/>
            </w:tcBorders>
          </w:tcPr>
          <w:p>
            <w:pPr>
              <w:pStyle w:val="6"/>
              <w:rPr>
                <w:rFonts w:ascii="Times New Roman"/>
                <w:sz w:val="20"/>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7" w:hRule="atLeast"/>
        </w:trPr>
        <w:tc>
          <w:tcPr>
            <w:tcW w:w="1618" w:type="dxa"/>
            <w:vMerge w:val="continue"/>
            <w:tcBorders>
              <w:top w:val="nil"/>
            </w:tcBorders>
          </w:tcPr>
          <w:p>
            <w:pPr>
              <w:rPr>
                <w:sz w:val="2"/>
                <w:szCs w:val="2"/>
              </w:rPr>
            </w:pPr>
          </w:p>
        </w:tc>
        <w:tc>
          <w:tcPr>
            <w:tcW w:w="230" w:type="dxa"/>
            <w:tcBorders>
              <w:top w:val="single" w:color="231F20" w:sz="4" w:space="0"/>
              <w:bottom w:val="nil"/>
              <w:right w:val="double" w:color="231F20" w:sz="0" w:space="0"/>
            </w:tcBorders>
          </w:tcPr>
          <w:p>
            <w:pPr>
              <w:pStyle w:val="6"/>
              <w:rPr>
                <w:rFonts w:ascii="Times New Roman"/>
                <w:sz w:val="8"/>
              </w:rPr>
            </w:pPr>
          </w:p>
        </w:tc>
        <w:tc>
          <w:tcPr>
            <w:tcW w:w="1054" w:type="dxa"/>
            <w:vMerge w:val="continue"/>
            <w:tcBorders>
              <w:top w:val="nil"/>
              <w:left w:val="double" w:color="231F20" w:sz="0" w:space="0"/>
              <w:bottom w:val="double" w:color="231F20" w:sz="0" w:space="0"/>
              <w:right w:val="single" w:color="231F20" w:sz="4" w:space="0"/>
            </w:tcBorders>
          </w:tcPr>
          <w:p>
            <w:pPr>
              <w:rPr>
                <w:sz w:val="2"/>
                <w:szCs w:val="2"/>
              </w:rPr>
            </w:pPr>
          </w:p>
        </w:tc>
        <w:tc>
          <w:tcPr>
            <w:tcW w:w="1117" w:type="dxa"/>
            <w:gridSpan w:val="2"/>
            <w:vMerge w:val="continue"/>
            <w:tcBorders>
              <w:top w:val="nil"/>
              <w:left w:val="single" w:color="231F20" w:sz="4" w:space="0"/>
              <w:bottom w:val="nil"/>
              <w:right w:val="nil"/>
            </w:tcBorders>
          </w:tcPr>
          <w:p>
            <w:pPr>
              <w:rPr>
                <w:sz w:val="2"/>
                <w:szCs w:val="2"/>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7" w:hRule="atLeast"/>
        </w:trPr>
        <w:tc>
          <w:tcPr>
            <w:tcW w:w="1848" w:type="dxa"/>
            <w:gridSpan w:val="2"/>
            <w:tcBorders>
              <w:left w:val="nil"/>
              <w:bottom w:val="nil"/>
              <w:right w:val="double" w:color="231F20" w:sz="0" w:space="0"/>
            </w:tcBorders>
          </w:tcPr>
          <w:p>
            <w:pPr>
              <w:pStyle w:val="6"/>
              <w:rPr>
                <w:rFonts w:ascii="Times New Roman"/>
                <w:sz w:val="12"/>
              </w:rPr>
            </w:pPr>
          </w:p>
        </w:tc>
        <w:tc>
          <w:tcPr>
            <w:tcW w:w="1260" w:type="dxa"/>
            <w:gridSpan w:val="2"/>
            <w:tcBorders>
              <w:top w:val="double" w:color="231F20" w:sz="0" w:space="0"/>
              <w:left w:val="double" w:color="231F20" w:sz="0" w:space="0"/>
              <w:bottom w:val="single" w:color="231F20" w:sz="4" w:space="0"/>
              <w:right w:val="single" w:color="231F20" w:sz="4" w:space="0"/>
            </w:tcBorders>
          </w:tcPr>
          <w:p>
            <w:pPr>
              <w:pStyle w:val="6"/>
              <w:spacing w:before="18"/>
              <w:ind w:left="60"/>
              <w:rPr>
                <w:sz w:val="10"/>
              </w:rPr>
            </w:pPr>
            <w:r>
              <w:rPr>
                <w:color w:val="231F20"/>
                <w:w w:val="105"/>
                <w:sz w:val="10"/>
              </w:rPr>
              <w:t>缩写民间故事</w:t>
            </w:r>
          </w:p>
        </w:tc>
        <w:tc>
          <w:tcPr>
            <w:tcW w:w="911" w:type="dxa"/>
            <w:tcBorders>
              <w:top w:val="nil"/>
              <w:left w:val="single" w:color="231F20" w:sz="4" w:space="0"/>
              <w:bottom w:val="nil"/>
              <w:right w:val="nil"/>
            </w:tcBorders>
          </w:tcPr>
          <w:p>
            <w:pPr>
              <w:pStyle w:val="6"/>
              <w:rPr>
                <w:rFonts w:ascii="Times New Roman"/>
                <w:sz w:val="12"/>
              </w:rPr>
            </w:pPr>
          </w:p>
        </w:tc>
      </w:tr>
    </w:tbl>
    <w:p>
      <w:pPr>
        <w:pStyle w:val="3"/>
      </w:pPr>
    </w:p>
    <w:p>
      <w:pPr>
        <w:pStyle w:val="3"/>
      </w:pPr>
    </w:p>
    <w:p>
      <w:pPr>
        <w:pStyle w:val="3"/>
      </w:pPr>
    </w:p>
    <w:p>
      <w:pPr>
        <w:pStyle w:val="3"/>
      </w:pPr>
    </w:p>
    <w:p>
      <w:pPr>
        <w:pStyle w:val="3"/>
        <w:spacing w:before="9"/>
        <w:rPr>
          <w:sz w:val="23"/>
        </w:rPr>
      </w:pPr>
    </w:p>
    <w:p>
      <w:pPr>
        <w:spacing w:before="0"/>
        <w:ind w:left="2298" w:right="2315" w:firstLine="0"/>
        <w:jc w:val="center"/>
        <w:rPr>
          <w:rFonts w:ascii="Times New Roman" w:eastAsia="Times New Roman"/>
          <w:sz w:val="16"/>
        </w:rPr>
      </w:pPr>
      <w:r>
        <w:rPr>
          <w:color w:val="231F20"/>
          <w:sz w:val="14"/>
        </w:rPr>
        <w:t xml:space="preserve">图 </w:t>
      </w:r>
      <w:r>
        <w:rPr>
          <w:rFonts w:ascii="Times New Roman" w:eastAsia="Times New Roman"/>
          <w:color w:val="231F20"/>
          <w:sz w:val="16"/>
        </w:rPr>
        <w:t>1</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159" w:right="142"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任务一： 民间故事我阅读。 此任务关注单元整体教学中的长程性学习。内容上，主要由我引领学生学习精读课文和略读课文，让学生初步感知民间故事的特点，掌握转换口吻复述故事、为故事增加合理情节、变换情节顺序等复述策略。此外，我还将“快乐读书吧”阅读导读课前置，以便学生将所学的阅读策略运用到 《中国民间故事》 的自主学习中。策略上，我将精读课文的课后习题、“语文园地”中的“交流平台”以及“快乐读书吧”的小贴士作为创造性复述的范例指导。同时，我还提供了不同版本的 《牛郎织女》、关于牛郎织女的诗词歌赋等，让学生进行对比阅读。当然，我们还可以将《白蛇传》 《</w:t>
      </w:r>
      <w:r>
        <w:rPr>
          <w:rFonts w:hint="eastAsia" w:cs="宋体"/>
          <w:sz w:val="24"/>
          <w:szCs w:val="24"/>
          <w:lang w:val="en-US" w:eastAsia="zh-CN" w:bidi="zh-CN"/>
        </w:rPr>
        <w:t>梁山伯</w:t>
      </w:r>
      <w:r>
        <w:rPr>
          <w:rFonts w:hint="eastAsia" w:ascii="宋体" w:hAnsi="宋体" w:eastAsia="宋体" w:cs="宋体"/>
          <w:sz w:val="24"/>
          <w:szCs w:val="24"/>
          <w:lang w:val="en-US" w:eastAsia="zh-CN" w:bidi="zh-CN"/>
        </w:rPr>
        <w:t>伯与祝英台》 《孟姜女哭长城》等学生耳熟能详的篇目融入课时作业中，引导学生进行类文阅读，培养学生对优秀中华传统文化的价值认同，指向文化自信的核心素养培育。</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159" w:right="142"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任务二： 民间故事我讲述。 此任务关注单元整体教学中的融合性学习。本单元阅读和写作的训练目标同时指向了“复述”，创造性复述是由“读”到“讲”、由内而外的表达训练，习作要求的缩写则是一种内化吸收，这样一“讲”一“写”，循序渐进地提升任务难度，旨在通过言语实践活动培养学生“语言运用”的核心素养。教师可以借助“绘制连环画”活动组织教学，这是“提取关键信息” 的可视化操作过程，它作为复述的辅助媒介，既可以运用到“民间故事会”中 （口头表述），又可以作为缩写故事的思路 （书面表述）。</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159" w:right="142"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任务三：  民间故事我揭秘。 此任务关注单元整体教学中的协作性学习。在“民间故事我阅读”任务中，学生体验了由“篇”入“本”的阅读经历， 并在“快乐读书吧”中“相信你可以读更多”的引导下，从中国民间故事走向外国民间故事。因此， 由“篇”到“本”再到“类”的阅读网络的铺开是此任务的关键。在学生对民间故事有了一定阅读量的基础上，教师可以组织学生小组合作探究，自主选取民间故事的语言风格、人物形象塑造、故事结构类型、传递的思想感情等角度进行专题探究。主题情境下的协作学习可以进一步凸显学生的主体作用，从而让课堂教学实现由“扶”到“放”。</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159" w:right="142"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统观三个任务，我们可以发现单元整体教学其实就是从单一走向整体、从个体走向共同体的学习过程。在三个任务的牵引下，“民间故事”单元在教学过程中实现了知识、能力与情感的融通与共生。这对教师的教和学生的学都提出了更大的挑战。</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159" w:right="142"/>
        <w:jc w:val="both"/>
        <w:textAlignment w:val="auto"/>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三、 多元展示， 多维审视素养落地的活动评价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159" w:right="142"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单元整体教学倡导“教—学—评”一体化，即学习目标、评价任务和教学活动是一致的，教师的教、学生的学和教学评价是一致的。“教—学— 评”一体化要求教师要科学选择评价方式，合理使用评价工具，妥善运用评价语言，注重鼓励学生， 激发学习积极性。因此，教师在设计每个任务以及子任务时，都要考虑多维度、多方式的评价模式。根据 2022 年版课标中提出的“在汇报展示过程中， 教师应提前设计评价量表、告知评价标准，引导学生合理使用评价工具，形成评价结果”评价建议， 我在“民间故事会”子任务中，设计了“班级擂台”，引导学生基于“丰富故事的细节、表情生动、动作形象、语言流畅 （脱稿讲述）、善设悬念（吸引听众）”五大评价标准，对“奇思妙想”“眉飞色舞”“手舞足蹈”“行云流水”“引人入胜”五大模块进行评级，选出本班的“民间故事大王”。在每一次评价打分中，学生都可以根据评价内容和评价标准不断巩固复述的要点，学习他人复述的方法， 做到“所评”即“所学”，借助评价反思学习过程，实现以评促学的目的。这样基于目标导向的评价方式，有助于实现语文要素的迁移与运用，并且让评价成为促进学生学习的有力途径。</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159" w:right="142"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任务驱动视域下的单元整体教学应以人文主题和语文要素为依据，围绕单元主题和目标设计不同的学习任务，并以持续性学习评价激发学生的学习效能。如此，方能让学生在阅读与鉴赏、表达与交流、梳理与探究等学习过程中，提升核心素养。</w:t>
      </w:r>
      <w:bookmarkStart w:id="0" w:name="_GoBack"/>
      <w:bookmarkEnd w:id="0"/>
    </w:p>
    <w:p>
      <w:pPr>
        <w:spacing w:before="0" w:line="226" w:lineRule="exact"/>
        <w:ind w:left="0" w:right="142" w:firstLine="0"/>
        <w:jc w:val="both"/>
        <w:rPr>
          <w:b/>
          <w:bCs/>
        </w:rPr>
      </w:pPr>
    </w:p>
    <w:p>
      <w:pPr>
        <w:pStyle w:val="3"/>
        <w:spacing w:line="307" w:lineRule="auto"/>
        <w:ind w:left="159" w:right="142"/>
        <w:jc w:val="both"/>
        <w:rPr>
          <w:rFonts w:hint="default" w:ascii="宋体" w:hAnsi="宋体" w:eastAsia="宋体" w:cs="宋体"/>
          <w:sz w:val="22"/>
          <w:szCs w:val="22"/>
          <w:lang w:val="en-US" w:eastAsia="zh-CN" w:bidi="zh-CN"/>
        </w:rPr>
      </w:pPr>
    </w:p>
    <w:p>
      <w:pPr>
        <w:numPr>
          <w:numId w:val="0"/>
        </w:numPr>
        <w:ind w:leftChars="0" w:right="0" w:rightChars="0"/>
        <w:rPr>
          <w:rFonts w:hint="default"/>
          <w:lang w:val="en-US" w:eastAsia="zh-CN"/>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C4F9B"/>
    <w:multiLevelType w:val="singleLevel"/>
    <w:tmpl w:val="B90C4F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87CD5"/>
    <w:rsid w:val="65787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05" w:lineRule="exact"/>
      <w:ind w:left="1480"/>
      <w:outlineLvl w:val="1"/>
    </w:pPr>
    <w:rPr>
      <w:rFonts w:ascii="宋体" w:hAnsi="宋体" w:eastAsia="宋体" w:cs="宋体"/>
      <w:sz w:val="48"/>
      <w:szCs w:val="48"/>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18"/>
      <w:szCs w:val="18"/>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2022-06-14T06:10:00Z</dcterms:created>
  <dc:creator>Tz</dc:creator>
  <cp:lastModifiedBy>Tz</cp:lastModifiedBy>
  <dcterms:modified xsi:type="dcterms:W3CDTF">2022-06-14T06:26:37Z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