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lang w:val="en-US" w:eastAsia="zh-CN"/>
        </w:rPr>
      </w:pPr>
      <w:r>
        <w:rPr>
          <w:rFonts w:hint="eastAsia" w:ascii="黑体" w:hAnsi="黑体" w:eastAsia="黑体" w:cs="黑体"/>
          <w:b/>
          <w:sz w:val="36"/>
          <w:szCs w:val="36"/>
          <w:lang w:eastAsia="zh-CN"/>
        </w:rPr>
        <w:t>新北区小学</w:t>
      </w:r>
      <w:r>
        <w:rPr>
          <w:rFonts w:hint="eastAsia" w:ascii="黑体" w:hAnsi="黑体" w:eastAsia="黑体" w:cs="黑体"/>
          <w:b/>
          <w:sz w:val="36"/>
          <w:szCs w:val="36"/>
          <w:lang w:val="en-US" w:eastAsia="zh-CN"/>
        </w:rPr>
        <w:t>英语祁琴花</w:t>
      </w:r>
      <w:r>
        <w:rPr>
          <w:rFonts w:hint="eastAsia" w:ascii="黑体" w:hAnsi="黑体" w:eastAsia="黑体" w:cs="黑体"/>
          <w:b/>
          <w:sz w:val="36"/>
          <w:szCs w:val="36"/>
          <w:lang w:eastAsia="zh-CN"/>
        </w:rPr>
        <w:t>优秀</w:t>
      </w:r>
      <w:r>
        <w:rPr>
          <w:rFonts w:hint="eastAsia" w:ascii="黑体" w:hAnsi="黑体" w:eastAsia="黑体" w:cs="黑体"/>
          <w:b/>
          <w:sz w:val="36"/>
          <w:szCs w:val="36"/>
        </w:rPr>
        <w:t>教师</w:t>
      </w:r>
      <w:r>
        <w:rPr>
          <w:rFonts w:hint="eastAsia" w:ascii="黑体" w:hAnsi="黑体" w:eastAsia="黑体" w:cs="黑体"/>
          <w:b/>
          <w:sz w:val="36"/>
          <w:szCs w:val="36"/>
          <w:lang w:eastAsia="zh-CN"/>
        </w:rPr>
        <w:t>培育室</w:t>
      </w:r>
      <w:r>
        <w:rPr>
          <w:rFonts w:hint="eastAsia" w:ascii="黑体" w:hAnsi="黑体" w:eastAsia="黑体" w:cs="黑体"/>
          <w:b/>
          <w:sz w:val="36"/>
          <w:szCs w:val="36"/>
          <w:lang w:val="en-US" w:eastAsia="zh-CN"/>
        </w:rPr>
        <w:t>培育计划</w:t>
      </w:r>
    </w:p>
    <w:p>
      <w:pPr>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（2022-2023学年第一学期）</w:t>
      </w:r>
    </w:p>
    <w:p>
      <w:pPr>
        <w:ind w:firstLine="560" w:firstLineChars="200"/>
        <w:rPr>
          <w:rFonts w:hint="eastAsia" w:ascii="宋体" w:hAnsi="宋体"/>
          <w:color w:val="000000"/>
          <w:sz w:val="24"/>
        </w:rPr>
      </w:pPr>
      <w:r>
        <w:rPr>
          <w:rFonts w:hint="eastAsia" w:ascii="黑体" w:eastAsia="黑体"/>
          <w:sz w:val="28"/>
          <w:szCs w:val="28"/>
        </w:rPr>
        <w:t>一、</w:t>
      </w:r>
      <w:r>
        <w:rPr>
          <w:rFonts w:hint="eastAsia" w:ascii="黑体" w:eastAsia="黑体"/>
          <w:sz w:val="28"/>
          <w:szCs w:val="28"/>
          <w:lang w:val="en-US" w:eastAsia="zh-CN"/>
        </w:rPr>
        <w:t>指导思想</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小学英语优秀教师培育室以学术交流、教艺切磋、互动提高为基本宗旨，积极搭建教育教学研究平台，引领培育室的成员提高专业素养、教育教学水平和科研能力，促进其专业发展与自我完善；以课题研究为主要抓手，培养一批优秀的英语教师，提高这批教师的专业成长速度，使每个培育室成员在“五级梯队”中提升一级、增加其在市区学科教学领域的影响力；做好做优一个课题，推出一些高质量的研究成果，在打造一支优秀英语教师队伍的同时引领一大批年轻教师。</w:t>
      </w:r>
    </w:p>
    <w:p>
      <w:pPr>
        <w:ind w:firstLine="560" w:firstLineChars="200"/>
        <w:rPr>
          <w:rFonts w:hint="default" w:ascii="黑体" w:hAnsi="黑体" w:eastAsia="黑体" w:cs="黑体"/>
          <w:b/>
          <w:sz w:val="32"/>
          <w:szCs w:val="32"/>
          <w:lang w:val="en-US" w:eastAsia="zh-CN"/>
        </w:rPr>
      </w:pPr>
      <w:r>
        <w:rPr>
          <w:rFonts w:hint="eastAsia" w:ascii="黑体" w:eastAsia="黑体"/>
          <w:sz w:val="28"/>
          <w:szCs w:val="28"/>
          <w:lang w:val="en-US" w:eastAsia="zh-CN"/>
        </w:rPr>
        <w:t>二</w:t>
      </w:r>
      <w:r>
        <w:rPr>
          <w:rFonts w:hint="eastAsia" w:ascii="黑体" w:eastAsia="黑体"/>
          <w:sz w:val="28"/>
          <w:szCs w:val="28"/>
        </w:rPr>
        <w:t>、</w:t>
      </w:r>
      <w:r>
        <w:rPr>
          <w:rFonts w:hint="eastAsia" w:ascii="黑体" w:eastAsia="黑体"/>
          <w:sz w:val="28"/>
          <w:szCs w:val="28"/>
          <w:lang w:val="en-US" w:eastAsia="zh-CN"/>
        </w:rPr>
        <w:t>工作目标</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（1）树立“学生立场”，着力提升学生的英语素养，促进学生主动、健康发展。</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（2）立足发展学生核心素养，掌握小学英语学科及相关的知识体系和思想方法，具有不同课型的研究能力，成为学校英语优秀教师的领衔人，并在新北区内起到一定的示范作用。</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（3）具有独立研究英语课题的能力，能在校范围内主持开展英语课题研究，明确自己英语教育教学研究的方向，在培育室研究范围的子领域有一定的研究深度。</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（4）掌握现代教育技术，能运用现代教育理念开展信息技术与小学英语整合的教学研究。</w:t>
      </w:r>
    </w:p>
    <w:p>
      <w:pPr>
        <w:numPr>
          <w:ilvl w:val="0"/>
          <w:numId w:val="1"/>
        </w:numPr>
        <w:ind w:firstLine="560" w:firstLineChars="200"/>
        <w:rPr>
          <w:rFonts w:hint="eastAsia" w:ascii="黑体" w:eastAsia="黑体" w:cs="Times New Roman"/>
          <w:sz w:val="28"/>
          <w:szCs w:val="28"/>
          <w:lang w:val="en-US" w:eastAsia="zh-CN"/>
        </w:rPr>
      </w:pPr>
      <w:r>
        <w:rPr>
          <w:rFonts w:hint="eastAsia" w:ascii="黑体" w:eastAsia="黑体" w:cs="Times New Roman"/>
          <w:sz w:val="28"/>
          <w:szCs w:val="28"/>
        </w:rPr>
        <w:t>主要</w:t>
      </w:r>
      <w:r>
        <w:rPr>
          <w:rFonts w:hint="eastAsia" w:ascii="黑体" w:eastAsia="黑体" w:cs="Times New Roman"/>
          <w:sz w:val="28"/>
          <w:szCs w:val="28"/>
          <w:lang w:val="en-US" w:eastAsia="zh-CN"/>
        </w:rPr>
        <w:t>措施</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（1）调研把脉，寻找节点达成共识</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培育室成立初期，向全体成员发放调查问卷，分理论储备、教学能力、专题（课题）研究、成果积累、对培育室的期望等几方面了解每位成员的现实基础和发展愿望，并分批分次走进课堂、调研把脉、寻找每位成员发展的节点；同时，精心策划培育室成立大会，明晰研究方向、成员分工、活动安排、规章制度等，树立共同愿景、达成发展共识。</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（2）扎实研训，切实提升理论素养</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围绕培育室的教育教学研究主题，每位成员每学期必须深入研读一本以上由培育室领衔人推荐的专著，学习有重要启发意义的研究论文不少于10篇，并在学习研讨中能够灵活陈述，表明自己的观点。</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根据培育室成员的专业基础确立研训课程，培训时间每人每学期不少于20课时，培训形式多样，坚持理论研究与实践探索相结合，自学反思与互动交流相结合，课例研讨与专题研讨相结合。</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培育室成员必须在领衔人的指导下每人每学期承担一次校级以上的专题讲座。每学期结束，培育室对成员的学习与培训情况进行考核，并针对每位成员的实际完成情况作出评价和建议。</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（3）加强交流，提高课堂教学能力</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室内：每学期，培育室领衔人组织成员制订学期工作计划及提高课堂教学质量的对策，围绕专题开展课堂教学研讨活动3-4次，做实每次研究活动的“前移”与“后续”，确保，前有专题学习、集体研讨、试教评议，后有反思重建、研究案例、专题小结。</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区内：与教师发展中心英语学科研究活动（如开放活动、基地活动、核心组活动等）相整合，积极争取培育室成员承担研究任务，共同参与研究设计、研讨互动，同时开展一些主题式的论坛、沙龙、读书活动，校际优秀教师联谊活动。</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市内：积极参与市级各类教研活动，并与市内各类培育室开展联合研讨交流活动，拓展培育室活动的宽度。</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省内外：积极争取支持和帮助，组织培育室成员参与省内外较高级别的研讨和教学竞赛活动，学习借鉴、博采众长，活动后以重建课、学习反思、专题小结等形式在培育室内交流共享。提升培育室活动的高度。</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（4）深入研究，提升两类研究质量</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课题研究：每位成员必须参加培育室领衔人负责的课题研究，明确课题分工，承担一定的研究任务，起到应有的研究作用。每位成员还必须根据自己承担的课题研究任务申报子课题，带动其他教师进行子课题的研究。</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课型研究：围绕“核心素养背景下的的小学英语单元整体教学”开展单元课型研究——“词汇课”、“语篇课”、“阅读课”、“语法课”、“复习课”等，分阶段进行研究，加强每次研究活动的“前移”与“后续”，每学期每人至少撰写1篇专题研究小结。</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（5）提炼成果，推出自我和团队</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以课题研究和课型研究为主要突破口，每一位成员必须结合课型和课题研究实践及时总结和捕捉创新行为，外显研究成果。每位成员在研究周期内至少有2件成果获常州市级以上奖励，在市级以上刊物至少发表研究论文1篇。</w:t>
      </w:r>
    </w:p>
    <w:p>
      <w:pPr>
        <w:spacing w:line="420" w:lineRule="exact"/>
        <w:jc w:val="center"/>
        <w:rPr>
          <w:rFonts w:ascii="仿宋_GB2312" w:eastAsia="仿宋_GB2312"/>
          <w:b/>
          <w:color w:val="000000"/>
          <w:sz w:val="28"/>
          <w:szCs w:val="28"/>
        </w:rPr>
      </w:pPr>
      <w:r>
        <w:rPr>
          <w:rFonts w:hint="eastAsia" w:ascii="仿宋" w:eastAsia="仿宋" w:cs="仿宋"/>
          <w:b/>
          <w:bCs/>
          <w:kern w:val="0"/>
          <w:sz w:val="28"/>
          <w:szCs w:val="28"/>
        </w:rPr>
        <w:t>202</w:t>
      </w:r>
      <w:r>
        <w:rPr>
          <w:rFonts w:hint="eastAsia" w:ascii="仿宋" w:eastAsia="仿宋" w:cs="仿宋"/>
          <w:b/>
          <w:bCs/>
          <w:kern w:val="0"/>
          <w:sz w:val="28"/>
          <w:szCs w:val="28"/>
          <w:lang w:val="en-US" w:eastAsia="zh-CN"/>
        </w:rPr>
        <w:t>2</w:t>
      </w:r>
      <w:r>
        <w:rPr>
          <w:rFonts w:hint="eastAsia" w:ascii="仿宋" w:eastAsia="仿宋" w:cs="仿宋"/>
          <w:b/>
          <w:bCs/>
          <w:kern w:val="0"/>
          <w:sz w:val="28"/>
          <w:szCs w:val="28"/>
        </w:rPr>
        <w:t>-202</w:t>
      </w:r>
      <w:r>
        <w:rPr>
          <w:rFonts w:hint="eastAsia" w:ascii="仿宋" w:eastAsia="仿宋" w:cs="仿宋"/>
          <w:b/>
          <w:bCs/>
          <w:kern w:val="0"/>
          <w:sz w:val="28"/>
          <w:szCs w:val="28"/>
          <w:lang w:val="en-US" w:eastAsia="zh-CN"/>
        </w:rPr>
        <w:t>3</w:t>
      </w:r>
      <w:bookmarkStart w:id="0" w:name="_GoBack"/>
      <w:bookmarkEnd w:id="0"/>
      <w:r>
        <w:rPr>
          <w:rFonts w:hint="eastAsia" w:ascii="仿宋" w:eastAsia="仿宋" w:cs="仿宋"/>
          <w:b/>
          <w:bCs/>
          <w:kern w:val="0"/>
          <w:sz w:val="28"/>
          <w:szCs w:val="28"/>
        </w:rPr>
        <w:t>学年第</w:t>
      </w:r>
      <w:r>
        <w:rPr>
          <w:rFonts w:hint="eastAsia" w:ascii="仿宋" w:eastAsia="仿宋" w:cs="仿宋"/>
          <w:b/>
          <w:bCs/>
          <w:kern w:val="0"/>
          <w:sz w:val="28"/>
          <w:szCs w:val="28"/>
          <w:lang w:val="en-US" w:eastAsia="zh-CN"/>
        </w:rPr>
        <w:t>一</w:t>
      </w:r>
      <w:r>
        <w:rPr>
          <w:rFonts w:hint="eastAsia" w:ascii="仿宋" w:eastAsia="仿宋" w:cs="仿宋"/>
          <w:b/>
          <w:bCs/>
          <w:kern w:val="0"/>
          <w:sz w:val="28"/>
          <w:szCs w:val="28"/>
        </w:rPr>
        <w:t>学期</w:t>
      </w:r>
      <w:r>
        <w:rPr>
          <w:rFonts w:hint="eastAsia" w:ascii="仿宋_GB2312" w:eastAsia="仿宋_GB2312"/>
          <w:b/>
          <w:color w:val="000000"/>
          <w:sz w:val="28"/>
          <w:szCs w:val="28"/>
        </w:rPr>
        <w:t>小学英语祁琴花优秀教师培育室活动安表</w:t>
      </w:r>
    </w:p>
    <w:p>
      <w:pPr>
        <w:spacing w:line="360" w:lineRule="auto"/>
        <w:ind w:firstLine="480" w:firstLineChars="200"/>
        <w:jc w:val="left"/>
        <w:rPr>
          <w:rFonts w:hint="eastAsia" w:ascii="仿宋_GB2312" w:hAnsi="宋体" w:eastAsia="仿宋_GB2312"/>
          <w:sz w:val="24"/>
          <w:lang w:val="en-US" w:eastAsia="zh-CN"/>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7"/>
        <w:gridCol w:w="3306"/>
        <w:gridCol w:w="2816"/>
        <w:gridCol w:w="948"/>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137" w:type="dxa"/>
            <w:noWrap w:val="0"/>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月份</w:t>
            </w:r>
          </w:p>
        </w:tc>
        <w:tc>
          <w:tcPr>
            <w:tcW w:w="3306" w:type="dxa"/>
            <w:noWrap w:val="0"/>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活动内容</w:t>
            </w:r>
          </w:p>
        </w:tc>
        <w:tc>
          <w:tcPr>
            <w:tcW w:w="2816" w:type="dxa"/>
            <w:noWrap w:val="0"/>
            <w:vAlign w:val="center"/>
          </w:tcPr>
          <w:p>
            <w:pPr>
              <w:spacing w:line="300" w:lineRule="exact"/>
              <w:jc w:val="center"/>
              <w:rPr>
                <w:rFonts w:ascii="仿宋_GB2312" w:hAnsi="宋体" w:eastAsia="仿宋_GB2312"/>
                <w:b/>
                <w:bCs/>
                <w:color w:val="000000"/>
                <w:sz w:val="24"/>
              </w:rPr>
            </w:pPr>
            <w:r>
              <w:rPr>
                <w:rFonts w:hint="eastAsia" w:ascii="仿宋_GB2312" w:hAnsi="宋体" w:eastAsia="仿宋_GB2312"/>
                <w:b/>
                <w:bCs/>
                <w:color w:val="000000"/>
                <w:sz w:val="24"/>
              </w:rPr>
              <w:t>活动形式</w:t>
            </w:r>
          </w:p>
        </w:tc>
        <w:tc>
          <w:tcPr>
            <w:tcW w:w="948" w:type="dxa"/>
            <w:noWrap w:val="0"/>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天数</w:t>
            </w:r>
          </w:p>
        </w:tc>
        <w:tc>
          <w:tcPr>
            <w:tcW w:w="1716" w:type="dxa"/>
            <w:noWrap w:val="0"/>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37"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8月</w:t>
            </w:r>
          </w:p>
        </w:tc>
        <w:tc>
          <w:tcPr>
            <w:tcW w:w="3306" w:type="dxa"/>
            <w:noWrap w:val="0"/>
            <w:vAlign w:val="top"/>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1.暑期读书分享、论文写作情况交流。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zh-CN"/>
              </w:rPr>
              <w:t>制定下一阶段的读书计划和研究计划。</w:t>
            </w:r>
          </w:p>
        </w:tc>
        <w:tc>
          <w:tcPr>
            <w:tcW w:w="2816" w:type="dxa"/>
            <w:noWrap w:val="0"/>
            <w:vAlign w:val="top"/>
          </w:tcPr>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1.成</w:t>
            </w:r>
            <w:r>
              <w:rPr>
                <w:rFonts w:hint="eastAsia" w:ascii="仿宋_GB2312" w:hAnsi="宋体" w:eastAsia="仿宋_GB2312"/>
                <w:color w:val="000000"/>
                <w:sz w:val="24"/>
                <w:lang w:val="zh-CN"/>
              </w:rPr>
              <w:t>员围绕荐读专著分享。</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2.领衔人</w:t>
            </w:r>
            <w:r>
              <w:rPr>
                <w:rFonts w:hint="eastAsia" w:ascii="仿宋_GB2312" w:hAnsi="宋体" w:eastAsia="仿宋_GB2312"/>
                <w:color w:val="000000"/>
                <w:sz w:val="24"/>
                <w:lang w:val="zh-CN"/>
              </w:rPr>
              <w:t>指导论文修改。</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第一次集中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7" w:type="dxa"/>
            <w:vMerge w:val="restart"/>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9月</w:t>
            </w:r>
          </w:p>
        </w:tc>
        <w:tc>
          <w:tcPr>
            <w:tcW w:w="3306" w:type="dxa"/>
            <w:noWrap w:val="0"/>
            <w:vAlign w:val="top"/>
          </w:tcPr>
          <w:p>
            <w:pPr>
              <w:numPr>
                <w:ilvl w:val="0"/>
                <w:numId w:val="2"/>
              </w:numPr>
              <w:spacing w:line="300" w:lineRule="exact"/>
              <w:rPr>
                <w:rFonts w:hint="eastAsia" w:ascii="仿宋_GB2312" w:hAnsi="宋体" w:eastAsia="仿宋_GB2312"/>
                <w:color w:val="000000"/>
                <w:sz w:val="24"/>
              </w:rPr>
            </w:pPr>
            <w:r>
              <w:rPr>
                <w:rFonts w:hint="eastAsia" w:ascii="仿宋_GB2312" w:hAnsi="宋体" w:eastAsia="仿宋_GB2312"/>
                <w:color w:val="000000"/>
                <w:sz w:val="24"/>
                <w:lang w:val="en-US" w:eastAsia="zh-CN"/>
              </w:rPr>
              <w:t>基于单元整体教学的绘本教学</w:t>
            </w:r>
            <w:r>
              <w:rPr>
                <w:rFonts w:hint="eastAsia" w:ascii="仿宋_GB2312" w:hAnsi="宋体" w:eastAsia="仿宋_GB2312"/>
                <w:color w:val="000000"/>
                <w:sz w:val="24"/>
              </w:rPr>
              <w:t>课例研讨。</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2.课例中呈现的</w:t>
            </w:r>
            <w:r>
              <w:rPr>
                <w:rFonts w:hint="eastAsia" w:ascii="仿宋_GB2312" w:hAnsi="宋体" w:eastAsia="仿宋_GB2312"/>
                <w:color w:val="000000"/>
                <w:sz w:val="24"/>
                <w:lang w:val="en-US" w:eastAsia="zh-CN"/>
              </w:rPr>
              <w:t>教学</w:t>
            </w:r>
            <w:r>
              <w:rPr>
                <w:rFonts w:hint="eastAsia" w:ascii="仿宋_GB2312" w:hAnsi="宋体" w:eastAsia="仿宋_GB2312"/>
                <w:color w:val="000000"/>
                <w:sz w:val="24"/>
              </w:rPr>
              <w:t>实施策略汇报。</w:t>
            </w:r>
          </w:p>
        </w:tc>
        <w:tc>
          <w:tcPr>
            <w:tcW w:w="2816" w:type="dxa"/>
            <w:noWrap w:val="0"/>
            <w:vAlign w:val="top"/>
          </w:tcPr>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1.</w:t>
            </w:r>
            <w:r>
              <w:rPr>
                <w:rFonts w:hint="eastAsia" w:ascii="仿宋_GB2312" w:hAnsi="宋体" w:eastAsia="仿宋_GB2312"/>
                <w:color w:val="000000"/>
                <w:sz w:val="24"/>
                <w:lang w:val="zh-CN"/>
              </w:rPr>
              <w:t>小组磨课，推出精品课例。</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2.培育室领衔人</w:t>
            </w:r>
            <w:r>
              <w:rPr>
                <w:rFonts w:hint="eastAsia" w:ascii="仿宋_GB2312" w:hAnsi="宋体" w:eastAsia="仿宋_GB2312"/>
                <w:color w:val="000000"/>
                <w:sz w:val="24"/>
                <w:lang w:val="zh-CN"/>
              </w:rPr>
              <w:t>专业指导。</w:t>
            </w:r>
          </w:p>
        </w:tc>
        <w:tc>
          <w:tcPr>
            <w:tcW w:w="948"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第二次集中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7" w:type="dxa"/>
            <w:vMerge w:val="continue"/>
            <w:noWrap w:val="0"/>
            <w:vAlign w:val="center"/>
          </w:tcPr>
          <w:p>
            <w:pPr>
              <w:spacing w:line="300" w:lineRule="exact"/>
              <w:jc w:val="center"/>
              <w:rPr>
                <w:rFonts w:hint="eastAsia" w:ascii="仿宋_GB2312" w:hAnsi="宋体" w:eastAsia="仿宋_GB2312"/>
                <w:color w:val="000000"/>
                <w:sz w:val="24"/>
              </w:rPr>
            </w:pPr>
          </w:p>
        </w:tc>
        <w:tc>
          <w:tcPr>
            <w:tcW w:w="3306" w:type="dxa"/>
            <w:noWrap w:val="0"/>
            <w:vAlign w:val="top"/>
          </w:tcPr>
          <w:p>
            <w:pPr>
              <w:spacing w:line="30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rPr>
              <w:t>学术沙龙：</w:t>
            </w:r>
            <w:r>
              <w:rPr>
                <w:rFonts w:hint="eastAsia" w:ascii="仿宋_GB2312" w:hAnsi="宋体" w:eastAsia="仿宋_GB2312"/>
                <w:color w:val="000000"/>
                <w:sz w:val="24"/>
                <w:lang w:val="en-US" w:eastAsia="zh-CN"/>
              </w:rPr>
              <w:t>小学英语绘本教学策略</w:t>
            </w:r>
          </w:p>
        </w:tc>
        <w:tc>
          <w:tcPr>
            <w:tcW w:w="2816" w:type="dxa"/>
            <w:noWrap w:val="0"/>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头脑风暴，梳理提炼，建构流程图谱。</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第三次集中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1137" w:type="dxa"/>
            <w:vMerge w:val="restart"/>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10月</w:t>
            </w:r>
          </w:p>
        </w:tc>
        <w:tc>
          <w:tcPr>
            <w:tcW w:w="3306" w:type="dxa"/>
            <w:noWrap w:val="0"/>
            <w:vAlign w:val="top"/>
          </w:tcPr>
          <w:p>
            <w:pPr>
              <w:numPr>
                <w:ilvl w:val="0"/>
                <w:numId w:val="2"/>
              </w:numPr>
              <w:spacing w:line="300" w:lineRule="exact"/>
              <w:rPr>
                <w:rFonts w:hint="eastAsia" w:ascii="仿宋_GB2312" w:hAnsi="宋体" w:eastAsia="仿宋_GB2312"/>
                <w:color w:val="000000"/>
                <w:sz w:val="24"/>
              </w:rPr>
            </w:pPr>
            <w:r>
              <w:rPr>
                <w:rFonts w:hint="eastAsia" w:ascii="仿宋_GB2312" w:hAnsi="宋体" w:eastAsia="仿宋_GB2312"/>
                <w:color w:val="000000"/>
                <w:sz w:val="24"/>
                <w:lang w:val="en-US" w:eastAsia="zh-CN"/>
              </w:rPr>
              <w:t>基于单元整体教学的绘本教学</w:t>
            </w:r>
            <w:r>
              <w:rPr>
                <w:rFonts w:hint="eastAsia" w:ascii="仿宋_GB2312" w:hAnsi="宋体" w:eastAsia="仿宋_GB2312"/>
                <w:color w:val="000000"/>
                <w:sz w:val="24"/>
              </w:rPr>
              <w:t>课例研讨。</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2.课例中呈现的</w:t>
            </w:r>
            <w:r>
              <w:rPr>
                <w:rFonts w:hint="eastAsia" w:ascii="仿宋_GB2312" w:hAnsi="宋体" w:eastAsia="仿宋_GB2312"/>
                <w:color w:val="000000"/>
                <w:sz w:val="24"/>
                <w:lang w:val="en-US" w:eastAsia="zh-CN"/>
              </w:rPr>
              <w:t>教学</w:t>
            </w:r>
            <w:r>
              <w:rPr>
                <w:rFonts w:hint="eastAsia" w:ascii="仿宋_GB2312" w:hAnsi="宋体" w:eastAsia="仿宋_GB2312"/>
                <w:color w:val="000000"/>
                <w:sz w:val="24"/>
              </w:rPr>
              <w:t>实施策略汇报。</w:t>
            </w:r>
          </w:p>
        </w:tc>
        <w:tc>
          <w:tcPr>
            <w:tcW w:w="2816" w:type="dxa"/>
            <w:noWrap w:val="0"/>
            <w:vAlign w:val="top"/>
          </w:tcPr>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1.</w:t>
            </w:r>
            <w:r>
              <w:rPr>
                <w:rFonts w:hint="eastAsia" w:ascii="仿宋_GB2312" w:hAnsi="宋体" w:eastAsia="仿宋_GB2312"/>
                <w:color w:val="000000"/>
                <w:sz w:val="24"/>
                <w:lang w:val="zh-CN"/>
              </w:rPr>
              <w:t>小组磨课，推出精品课例。</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2.培育室领衔人</w:t>
            </w:r>
            <w:r>
              <w:rPr>
                <w:rFonts w:hint="eastAsia" w:ascii="仿宋_GB2312" w:hAnsi="宋体" w:eastAsia="仿宋_GB2312"/>
                <w:color w:val="000000"/>
                <w:sz w:val="24"/>
                <w:lang w:val="zh-CN"/>
              </w:rPr>
              <w:t>专业指导。</w:t>
            </w:r>
          </w:p>
        </w:tc>
        <w:tc>
          <w:tcPr>
            <w:tcW w:w="948"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第四次集中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137" w:type="dxa"/>
            <w:vMerge w:val="continue"/>
            <w:noWrap w:val="0"/>
            <w:vAlign w:val="center"/>
          </w:tcPr>
          <w:p>
            <w:pPr>
              <w:spacing w:line="300" w:lineRule="exact"/>
              <w:jc w:val="center"/>
              <w:rPr>
                <w:rFonts w:hint="eastAsia" w:ascii="仿宋_GB2312" w:hAnsi="宋体" w:eastAsia="仿宋_GB2312"/>
                <w:color w:val="000000"/>
                <w:sz w:val="24"/>
              </w:rPr>
            </w:pPr>
          </w:p>
        </w:tc>
        <w:tc>
          <w:tcPr>
            <w:tcW w:w="3306" w:type="dxa"/>
            <w:noWrap w:val="0"/>
            <w:vAlign w:val="top"/>
          </w:tcPr>
          <w:p>
            <w:pPr>
              <w:spacing w:line="300" w:lineRule="exact"/>
              <w:rPr>
                <w:rFonts w:ascii="仿宋_GB2312" w:hAnsi="宋体" w:eastAsia="仿宋_GB2312"/>
                <w:color w:val="000000"/>
                <w:sz w:val="24"/>
              </w:rPr>
            </w:pPr>
            <w:r>
              <w:rPr>
                <w:rFonts w:hint="eastAsia" w:ascii="仿宋_GB2312" w:hAnsi="宋体" w:eastAsia="仿宋_GB2312"/>
                <w:color w:val="000000"/>
                <w:sz w:val="24"/>
              </w:rPr>
              <w:t>学术沙龙：不同文体思维培养的教学范式（写景、叙事）</w:t>
            </w:r>
          </w:p>
        </w:tc>
        <w:tc>
          <w:tcPr>
            <w:tcW w:w="2816" w:type="dxa"/>
            <w:noWrap w:val="0"/>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头脑风暴，梳理提炼，建构流程图谱。</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第五次集中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137"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11月</w:t>
            </w:r>
          </w:p>
        </w:tc>
        <w:tc>
          <w:tcPr>
            <w:tcW w:w="3306" w:type="dxa"/>
            <w:noWrap w:val="0"/>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1.参加千课万人教学观摩活动。</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2.听课心得。</w:t>
            </w:r>
          </w:p>
        </w:tc>
        <w:tc>
          <w:tcPr>
            <w:tcW w:w="2816" w:type="dxa"/>
            <w:noWrap w:val="0"/>
            <w:vAlign w:val="top"/>
          </w:tcPr>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1.</w:t>
            </w:r>
            <w:r>
              <w:rPr>
                <w:rFonts w:hint="eastAsia" w:ascii="仿宋_GB2312" w:hAnsi="宋体" w:eastAsia="仿宋_GB2312"/>
                <w:color w:val="000000"/>
                <w:sz w:val="24"/>
                <w:lang w:val="zh-CN"/>
              </w:rPr>
              <w:t>组团观摩。</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zh-CN"/>
              </w:rPr>
              <w:t>学习心得分享。</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第六次集中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7" w:type="dxa"/>
            <w:vMerge w:val="restart"/>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12月</w:t>
            </w:r>
          </w:p>
        </w:tc>
        <w:tc>
          <w:tcPr>
            <w:tcW w:w="3306" w:type="dxa"/>
            <w:noWrap w:val="0"/>
            <w:vAlign w:val="top"/>
          </w:tcPr>
          <w:p>
            <w:pPr>
              <w:numPr>
                <w:ilvl w:val="0"/>
                <w:numId w:val="2"/>
              </w:numPr>
              <w:spacing w:line="300" w:lineRule="exact"/>
              <w:rPr>
                <w:rFonts w:hint="eastAsia" w:ascii="仿宋_GB2312" w:hAnsi="宋体" w:eastAsia="仿宋_GB2312"/>
                <w:color w:val="000000"/>
                <w:sz w:val="24"/>
              </w:rPr>
            </w:pPr>
            <w:r>
              <w:rPr>
                <w:rFonts w:hint="eastAsia" w:ascii="仿宋_GB2312" w:hAnsi="宋体" w:eastAsia="仿宋_GB2312"/>
                <w:color w:val="000000"/>
                <w:sz w:val="24"/>
                <w:lang w:val="en-US" w:eastAsia="zh-CN"/>
              </w:rPr>
              <w:t>基于单元整体教学的绘本教学</w:t>
            </w:r>
            <w:r>
              <w:rPr>
                <w:rFonts w:hint="eastAsia" w:ascii="仿宋_GB2312" w:hAnsi="宋体" w:eastAsia="仿宋_GB2312"/>
                <w:color w:val="000000"/>
                <w:sz w:val="24"/>
              </w:rPr>
              <w:t>课例研讨。</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2.课例中呈现的</w:t>
            </w:r>
            <w:r>
              <w:rPr>
                <w:rFonts w:hint="eastAsia" w:ascii="仿宋_GB2312" w:hAnsi="宋体" w:eastAsia="仿宋_GB2312"/>
                <w:color w:val="000000"/>
                <w:sz w:val="24"/>
                <w:lang w:val="en-US" w:eastAsia="zh-CN"/>
              </w:rPr>
              <w:t>教学</w:t>
            </w:r>
            <w:r>
              <w:rPr>
                <w:rFonts w:hint="eastAsia" w:ascii="仿宋_GB2312" w:hAnsi="宋体" w:eastAsia="仿宋_GB2312"/>
                <w:color w:val="000000"/>
                <w:sz w:val="24"/>
              </w:rPr>
              <w:t>实施策略汇报。</w:t>
            </w:r>
          </w:p>
        </w:tc>
        <w:tc>
          <w:tcPr>
            <w:tcW w:w="2816" w:type="dxa"/>
            <w:noWrap w:val="0"/>
            <w:vAlign w:val="top"/>
          </w:tcPr>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1.</w:t>
            </w:r>
            <w:r>
              <w:rPr>
                <w:rFonts w:hint="eastAsia" w:ascii="仿宋_GB2312" w:hAnsi="宋体" w:eastAsia="仿宋_GB2312"/>
                <w:color w:val="000000"/>
                <w:sz w:val="24"/>
                <w:lang w:val="zh-CN"/>
              </w:rPr>
              <w:t>小组磨课，推出精品课例。</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2.培育室领衔人</w:t>
            </w:r>
            <w:r>
              <w:rPr>
                <w:rFonts w:hint="eastAsia" w:ascii="仿宋_GB2312" w:hAnsi="宋体" w:eastAsia="仿宋_GB2312"/>
                <w:color w:val="000000"/>
                <w:sz w:val="24"/>
                <w:lang w:val="zh-CN"/>
              </w:rPr>
              <w:t>专业指导。</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第七次集中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7" w:type="dxa"/>
            <w:vMerge w:val="continue"/>
            <w:noWrap w:val="0"/>
            <w:vAlign w:val="center"/>
          </w:tcPr>
          <w:p>
            <w:pPr>
              <w:spacing w:line="300" w:lineRule="exact"/>
              <w:jc w:val="center"/>
              <w:rPr>
                <w:rFonts w:hint="eastAsia" w:ascii="仿宋_GB2312" w:hAnsi="宋体" w:eastAsia="仿宋_GB2312"/>
                <w:color w:val="000000"/>
                <w:sz w:val="24"/>
              </w:rPr>
            </w:pPr>
          </w:p>
        </w:tc>
        <w:tc>
          <w:tcPr>
            <w:tcW w:w="3306" w:type="dxa"/>
            <w:noWrap w:val="0"/>
            <w:vAlign w:val="top"/>
          </w:tcPr>
          <w:p>
            <w:pPr>
              <w:spacing w:line="300" w:lineRule="exact"/>
              <w:rPr>
                <w:rFonts w:ascii="仿宋_GB2312" w:hAnsi="宋体" w:eastAsia="仿宋_GB2312"/>
                <w:color w:val="000000"/>
                <w:sz w:val="24"/>
              </w:rPr>
            </w:pPr>
            <w:r>
              <w:rPr>
                <w:rFonts w:hint="eastAsia" w:ascii="仿宋_GB2312" w:hAnsi="宋体" w:eastAsia="仿宋_GB2312"/>
                <w:color w:val="000000"/>
                <w:sz w:val="24"/>
              </w:rPr>
              <w:t>学术沙龙：不同文体思维培养的教学范式（文言文、古诗、说理文等）</w:t>
            </w:r>
          </w:p>
        </w:tc>
        <w:tc>
          <w:tcPr>
            <w:tcW w:w="2816" w:type="dxa"/>
            <w:noWrap w:val="0"/>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头脑风暴，梳理提炼，建构流程图谱。</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第八次集中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567B5"/>
    <w:multiLevelType w:val="singleLevel"/>
    <w:tmpl w:val="DBF567B5"/>
    <w:lvl w:ilvl="0" w:tentative="0">
      <w:start w:val="1"/>
      <w:numFmt w:val="decimal"/>
      <w:suff w:val="space"/>
      <w:lvlText w:val="%1."/>
      <w:lvlJc w:val="left"/>
    </w:lvl>
  </w:abstractNum>
  <w:abstractNum w:abstractNumId="1">
    <w:nsid w:val="01006E36"/>
    <w:multiLevelType w:val="singleLevel"/>
    <w:tmpl w:val="01006E3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GNmYmQzYzM1NjAyZDllNGE3MWIyMDlkOTEzNzUifQ=="/>
  </w:docVars>
  <w:rsids>
    <w:rsidRoot w:val="5C6E470E"/>
    <w:rsid w:val="5C6E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2023-06-12T06:31:00Z</dcterms:created>
  <dc:creator>刘梦姣</dc:creator>
  <cp:lastModifiedBy>刘梦姣</cp:lastModifiedBy>
  <dcterms:modified xsi:type="dcterms:W3CDTF">2023-06-12T06:32:22Z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01DD7E4C0C5E47B5BC0911178422A015</vt:lpwstr>
  </property>
</Properties>
</file>