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firstLineChars="300"/>
        <w:jc w:val="cente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“双减”下外语整本书阅读探索之心得</w:t>
      </w:r>
    </w:p>
    <w:p>
      <w:pPr>
        <w:ind w:firstLine="480" w:firstLineChars="20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11月14日晚，我有幸参加了中国外语教材与研究中心和上海外语教育出版社联合举办的“双减”背景下基础外语整本书阅读线上培训课，主讲嘉宾有上海外国语大学教授梅德明教授、南京师范大学外国语学院教授田朝霞教授和浙江省特技教师姜发兵老师。他们那充满新意的思维、富有深意的话语让这堂线上课程尤为与众不同。可谓群英荟萃，博采众长，听后无不受益匪浅。</w:t>
      </w:r>
    </w:p>
    <w:p>
      <w:pPr>
        <w:ind w:firstLine="480"/>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首先是梅德明教授围绕“双减”政策下英语阅读的价值导向和育人功能展开，讲解了作业、阅读等八大方面，理论深厚，例证鲜明，让我颇受启发。其次田朝霞教授以整本书阅读理念为切入点展开了有关名著阅读的分析，她指出要想学生养成阅读书籍的习惯，培植欣赏文学的能力，即课堂应摄入整本书教学实践的新思路，从选对书到反复读，从模仿到创造，从体验到怡情，才能实现悦读的境界。最后姜发兵老师就整本书阅读的对策研究展开了讨论。他直击了整本书阅读的对策，多个角度呈现整本书阅读的实践探索。课内课外阅读相结合，生成海报、写作、喜剧、音乐、日记等，能引导学生尝试变原著片段为自己的写作特色，是学生提升思维品质的一大途径。</w:t>
      </w:r>
    </w:p>
    <w:p>
      <w:pPr>
        <w:ind w:firstLine="480"/>
        <w:rPr>
          <w:rFonts w:hint="default" w:ascii="宋体" w:hAnsi="宋体" w:eastAsia="宋体" w:cs="宋体"/>
          <w:sz w:val="24"/>
          <w:szCs w:val="32"/>
          <w:lang w:val="en-US" w:eastAsia="zh-CN"/>
        </w:rPr>
      </w:pPr>
      <w:r>
        <w:rPr>
          <w:rFonts w:hint="eastAsia" w:ascii="宋体" w:hAnsi="宋体" w:eastAsia="宋体" w:cs="宋体"/>
          <w:sz w:val="24"/>
          <w:szCs w:val="32"/>
          <w:lang w:val="en-US" w:eastAsia="zh-CN"/>
        </w:rPr>
        <w:t>这次的精彩报告，让我重新审视了整本书阅读，感触颇深。相信日后的教学中，我会继续思考探索整本书阅读的实践路径，争取开展精彩的悦读课程</w:t>
      </w:r>
      <w:bookmarkStart w:id="0" w:name="_GoBack"/>
      <w:bookmarkEnd w:id="0"/>
      <w:r>
        <w:rPr>
          <w:rFonts w:hint="eastAsia" w:ascii="宋体" w:hAnsi="宋体" w:eastAsia="宋体" w:cs="宋体"/>
          <w:sz w:val="24"/>
          <w:szCs w:val="32"/>
          <w:lang w:val="en-US" w:eastAsia="zh-CN"/>
        </w:rPr>
        <w:t>！</w:t>
      </w:r>
    </w:p>
    <w:p>
      <w:pPr>
        <w:ind w:firstLine="720" w:firstLineChars="300"/>
        <w:jc w:val="center"/>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drawing>
          <wp:inline distT="0" distB="0" distL="114300" distR="114300">
            <wp:extent cx="3512185" cy="4683760"/>
            <wp:effectExtent l="0" t="0" r="5715" b="2540"/>
            <wp:docPr id="1" name="图片 1" descr="6e5eb534ddb4f43fd69416224ecb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e5eb534ddb4f43fd69416224ecb932"/>
                    <pic:cNvPicPr>
                      <a:picLocks noChangeAspect="1"/>
                    </pic:cNvPicPr>
                  </pic:nvPicPr>
                  <pic:blipFill>
                    <a:blip r:embed="rId4"/>
                    <a:stretch>
                      <a:fillRect/>
                    </a:stretch>
                  </pic:blipFill>
                  <pic:spPr>
                    <a:xfrm>
                      <a:off x="0" y="0"/>
                      <a:ext cx="3512185" cy="468376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506FA6"/>
    <w:rsid w:val="214B38C8"/>
    <w:rsid w:val="4D506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36</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2021-11-15T13:21:00Z</dcterms:created>
  <dc:creator>亮亮</dc:creator>
  <cp:lastModifiedBy>亮亮</cp:lastModifiedBy>
  <dcterms:modified xsi:type="dcterms:W3CDTF">2021-11-21T14:34:19Z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863F2A0195944579A33BB5A07AFABD11</vt:lpwstr>
  </property>
</Properties>
</file>