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“先学后教”在整本书阅读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1.先学环节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（1）分组分工。教师把全班分成11个阅读小组，并布置合作阅读任务给每一小组。各小组分别负责不同的展示任务，包括作品介绍、作者介绍、读书报告展示和8份不同的人物角色海报。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（2）布置任务。学生需在2个月内以每周10页的进度完成《野》的阅读，并完成读书报告。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（3）方法指导。教师给学生提供整本书阅读方法指导。阅读指南强调学生边阅读边思考，通过写笔记与文本互动等方式，养成主动阅读、积极思考的阅读品格。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（4）导读。教师上一节导读课，旨在激发学生对书籍的阅读兴趣，让学生带着问题去阅读。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2.后教环节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1）呈现小组合作成果。教师用一节课时安排11个小组进行展示。在成果展示中，学生能做到：总结角色性格品质、概括故事情节、评价角色；善用多媒体手段如图片和幻灯片等呈现成果；利用网络资源搜寻作者生平等信息辅助阅读理解；团结协作完成小组合作任务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2）投票互评。展示完毕后，教师组织各组按标准评价其他组的表现，并投票选出“展示之星”。通过讨论交流，各组客观思考其他组的海报设计、语言表达、结构思路等，也通过其他组的评价反思了自身的优点和不足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3）针对性“后教”。“先学”展示中，学生暴露出两个问题：不善利用思维导图整理信息；发散性思维不强。学生止于对情节信息的获取和对小说主题的浅层理解，而在提炼表达个人观点、运用思维导图整合信息和品味语言特色上，学生单从“先学”尚未达到理想的高度。对此，教师需在“后教”环节有针对性地点拨。</w:t>
            </w:r>
          </w:p>
          <w:p>
            <w:pPr>
              <w:widowControl/>
              <w:snapToGrid w:val="0"/>
              <w:jc w:val="left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</w:rPr>
              <w:t>“先学”展示中，学生暴露出两个主要问题：不善利用思维导图整理信息；发散性思维不强。学生止于对情节信息的获取和对小说主题的浅层理解，而在提炼表达个人观点、运用思维导图整合信息和品味语言特色上，学生单从“先学”尚未达到理想的高度。对此，</w:t>
            </w:r>
            <w:r>
              <w:rPr>
                <w:rFonts w:hint="eastAsia"/>
                <w:color w:val="323E32"/>
                <w:lang w:val="en-US" w:eastAsia="zh-CN"/>
              </w:rPr>
              <w:t>教师可以</w:t>
            </w:r>
            <w:r>
              <w:rPr>
                <w:rFonts w:hint="eastAsia"/>
                <w:color w:val="323E32"/>
              </w:rPr>
              <w:t>在“后教”环节有针对性地点拨。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3E371D77"/>
    <w:rsid w:val="4A7819BA"/>
    <w:rsid w:val="657D14F5"/>
    <w:rsid w:val="731B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824</Characters>
  <Lines>0</Lines>
  <Paragraphs>0</Paragraphs>
  <TotalTime>7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2023-05-23T10:07:16Z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BABDEAA08F1D49F0AA2751A2D88A80B9</vt:lpwstr>
  </property>
</Properties>
</file>