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 xml:space="preserve">十四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8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12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我们居住的地方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学习用“=”或“≠”表示两个集合之间的数量关系，能比较出物体的宽窄，体验宽窄的相对性，理解宽和窄不是固定的。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能连续走30分钟， 有一定的耐力；练习接力快跑和跳格子。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体验乐曲的轻快风格，遵守音乐游戏的规则。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爱护公共财物，会正确使用；会保管好个人物品，注意不丢失。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本周围绕“</w:t>
            </w:r>
            <w:r>
              <w:rPr>
                <w:rFonts w:hint="eastAsia"/>
                <w:lang w:val="en-US" w:eastAsia="zh-CN"/>
              </w:rPr>
              <w:t>我居住的社区</w:t>
            </w:r>
            <w:r>
              <w:rPr>
                <w:rFonts w:hint="eastAsia"/>
              </w:rPr>
              <w:t>”展开话题，说一说自己</w:t>
            </w:r>
            <w:r>
              <w:rPr>
                <w:rFonts w:hint="eastAsia"/>
                <w:lang w:val="en-US" w:eastAsia="zh-CN"/>
              </w:rPr>
              <w:t>的社区在哪里，有哪些设施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集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  <w:lang w:val="en-US" w:eastAsia="zh-CN"/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图形的家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 w:val="0"/>
                <w:bCs w:val="0"/>
                <w:szCs w:val="21"/>
                <w:lang w:val="en-US" w:eastAsia="zh-CN"/>
              </w:rPr>
              <w:t>家乡的故事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家乡的建筑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科学活动：</w:t>
            </w:r>
          </w:p>
          <w:p>
            <w:pPr>
              <w:widowControl/>
              <w:jc w:val="center"/>
              <w:rPr>
                <w:rFonts w:hint="default" w:ascii="宋体" w:hAnsi="Times New Roman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神奇的桥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 w:val="0"/>
                <w:bCs w:val="0"/>
                <w:szCs w:val="21"/>
                <w:lang w:val="en-US" w:eastAsia="zh-CN"/>
              </w:rPr>
              <w:t>拾麦穗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夸家乡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手工高楼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、折纸宝塔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家乡美食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家乡的桥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、家乡建筑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我们的社区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自制社区迷宫、交通标志接龙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配对游戏</w:t>
            </w:r>
          </w:p>
          <w:p>
            <w:pPr>
              <w:spacing w:line="240" w:lineRule="auto"/>
              <w:ind w:left="840" w:hanging="840" w:hangingChars="400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小舞台、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超市游戏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、交通警察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生活区：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擦洗小椅子、品尝家乡特产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认识家乡地图、自制图书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科学区：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社区地图、桥的承重实验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创造性游戏（角色）：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售楼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创造性游戏（建构）：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美丽的街道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跳房子</w:t>
            </w:r>
          </w:p>
          <w:p>
            <w:pPr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区域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在班级主题墙中张贴家乡的特产、风景名胜的照片和图片，增进幼儿对家乡的理解，培养爱家乡的情感。</w:t>
            </w:r>
          </w:p>
          <w:p>
            <w:pPr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2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在美工区张贴世界各地地标性建筑物的海报，鼓励幼儿用绘画、撕贴、立体造型等方式制作自己喜爱的建筑物，并在展示区展示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  <w:lang w:val="en-US" w:eastAsia="zh-CN"/>
              </w:rPr>
              <w:t>教育幼儿注意饮食卫，如常洗手、多喝水，保持良好卫生习惯。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sz w:val="21"/>
                <w:szCs w:val="21"/>
                <w:lang w:val="en-US" w:eastAsia="zh-CN"/>
              </w:rPr>
              <w:t>请家长结合主题，向孩子介绍居住地与我们生活密切相关的事，如新车站、新广场、地铁等。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6AF34"/>
    <w:multiLevelType w:val="singleLevel"/>
    <w:tmpl w:val="D7D6AF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2F7541DF"/>
    <w:rsid w:val="2F7541DF"/>
    <w:rsid w:val="410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786</Characters>
  <Lines>0</Lines>
  <Paragraphs>0</Paragraphs>
  <TotalTime>1</TotalTime>
  <ScaleCrop>false</ScaleCrop>
  <LinksUpToDate>false</LinksUpToDate>
  <CharactersWithSpaces>834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2023-04-27T04:45:00Z</dcterms:created>
  <dc:creator>MAO</dc:creator>
  <cp:lastModifiedBy>MAO</cp:lastModifiedBy>
  <dcterms:modified xsi:type="dcterms:W3CDTF">2023-04-27T04:52:24Z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6B5AB4D7ED4242C5AFAC2EB54DD77EB8_11</vt:lpwstr>
  </property>
</Properties>
</file>