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sz w:val="28"/>
          <w:szCs w:val="28"/>
          <w:lang w:val="en-US" w:eastAsia="zh-CN"/>
        </w:rPr>
      </w:pPr>
    </w:p>
    <w:p>
      <w:pPr>
        <w:ind w:firstLine="562" w:firstLineChars="200"/>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课堂“深度学习时刻”教学案例评比稿</w:t>
      </w:r>
    </w:p>
    <w:tbl>
      <w:tblPr>
        <w:tblStyle w:val="4"/>
        <w:tblW w:w="8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335"/>
        <w:gridCol w:w="1462"/>
        <w:gridCol w:w="1400"/>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5" w:type="dxa"/>
          </w:tcPr>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案例主题</w:t>
            </w:r>
          </w:p>
        </w:tc>
        <w:tc>
          <w:tcPr>
            <w:tcW w:w="7134" w:type="dxa"/>
            <w:gridSpan w:val="4"/>
          </w:tcPr>
          <w:p>
            <w:pPr>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联系生活，有效引导，探求新知</w:t>
            </w:r>
          </w:p>
        </w:tc>
      </w:tr>
      <w:tr>
        <w:tblPrEx>
          <w:tblLayout w:type="fixed"/>
          <w:tblCellMar>
            <w:top w:w="0" w:type="dxa"/>
            <w:left w:w="108" w:type="dxa"/>
            <w:bottom w:w="0" w:type="dxa"/>
            <w:right w:w="108" w:type="dxa"/>
          </w:tblCellMar>
        </w:tblPrEx>
        <w:trPr>
          <w:jc w:val="center"/>
        </w:trPr>
        <w:tc>
          <w:tcPr>
            <w:tcW w:w="1525" w:type="dxa"/>
          </w:tcPr>
          <w:p>
            <w:pPr>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年级学科</w:t>
            </w:r>
          </w:p>
        </w:tc>
        <w:tc>
          <w:tcPr>
            <w:tcW w:w="1335" w:type="dxa"/>
          </w:tcPr>
          <w:p>
            <w:pPr>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语文</w:t>
            </w:r>
          </w:p>
        </w:tc>
        <w:tc>
          <w:tcPr>
            <w:tcW w:w="1462" w:type="dxa"/>
          </w:tcPr>
          <w:p>
            <w:pPr>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案例内容</w:t>
            </w:r>
          </w:p>
        </w:tc>
        <w:tc>
          <w:tcPr>
            <w:tcW w:w="4337" w:type="dxa"/>
            <w:gridSpan w:val="2"/>
          </w:tcPr>
          <w:p>
            <w:pPr>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面积的含义</w:t>
            </w:r>
          </w:p>
        </w:tc>
      </w:tr>
      <w:tr>
        <w:tblPrEx>
          <w:tblLayout w:type="fixed"/>
          <w:tblCellMar>
            <w:top w:w="0" w:type="dxa"/>
            <w:left w:w="108" w:type="dxa"/>
            <w:bottom w:w="0" w:type="dxa"/>
            <w:right w:w="108" w:type="dxa"/>
          </w:tblCellMar>
        </w:tblPrEx>
        <w:trPr>
          <w:jc w:val="center"/>
        </w:trPr>
        <w:tc>
          <w:tcPr>
            <w:tcW w:w="1525" w:type="dxa"/>
            <w:vAlign w:val="top"/>
          </w:tcPr>
          <w:p>
            <w:pPr>
              <w:jc w:val="center"/>
              <w:rPr>
                <w:rFonts w:hint="default" w:ascii="Calibri" w:hAnsi="Calibri" w:eastAsia="宋体" w:cs="Times New Roman"/>
                <w:kern w:val="2"/>
                <w:sz w:val="24"/>
                <w:szCs w:val="24"/>
                <w:lang w:val="en-US" w:eastAsia="zh-CN" w:bidi="ar-SA"/>
              </w:rPr>
            </w:pPr>
            <w:r>
              <w:rPr>
                <w:rFonts w:hint="eastAsia" w:ascii="Calibri" w:hAnsi="Calibri" w:eastAsia="宋体" w:cs="Times New Roman"/>
                <w:sz w:val="24"/>
                <w:szCs w:val="24"/>
                <w:lang w:val="en-US" w:eastAsia="zh-CN"/>
              </w:rPr>
              <w:t>姓名</w:t>
            </w:r>
          </w:p>
        </w:tc>
        <w:tc>
          <w:tcPr>
            <w:tcW w:w="2797" w:type="dxa"/>
            <w:gridSpan w:val="2"/>
            <w:vAlign w:val="top"/>
          </w:tcPr>
          <w:p>
            <w:pPr>
              <w:jc w:val="center"/>
              <w:rPr>
                <w:rFonts w:hint="default"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罗倩</w:t>
            </w:r>
          </w:p>
        </w:tc>
        <w:tc>
          <w:tcPr>
            <w:tcW w:w="1400" w:type="dxa"/>
            <w:vAlign w:val="top"/>
          </w:tcPr>
          <w:p>
            <w:pPr>
              <w:jc w:val="center"/>
              <w:rPr>
                <w:rFonts w:hint="default" w:ascii="Calibri" w:hAnsi="Calibri" w:eastAsia="宋体" w:cs="Times New Roman"/>
                <w:kern w:val="2"/>
                <w:sz w:val="24"/>
                <w:szCs w:val="24"/>
                <w:lang w:val="en-US" w:eastAsia="zh-CN" w:bidi="ar-SA"/>
              </w:rPr>
            </w:pPr>
            <w:r>
              <w:rPr>
                <w:rFonts w:hint="eastAsia" w:ascii="Calibri" w:hAnsi="Calibri" w:eastAsia="宋体" w:cs="Times New Roman"/>
                <w:sz w:val="24"/>
                <w:szCs w:val="24"/>
                <w:lang w:val="en-US" w:eastAsia="zh-CN"/>
              </w:rPr>
              <w:t>时间</w:t>
            </w:r>
          </w:p>
        </w:tc>
        <w:tc>
          <w:tcPr>
            <w:tcW w:w="2937" w:type="dxa"/>
            <w:vAlign w:val="top"/>
          </w:tcPr>
          <w:p>
            <w:pPr>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2023.5.12</w:t>
            </w:r>
          </w:p>
        </w:tc>
      </w:tr>
      <w:tr>
        <w:tblPrEx>
          <w:tblLayout w:type="fixed"/>
          <w:tblCellMar>
            <w:top w:w="0" w:type="dxa"/>
            <w:left w:w="108" w:type="dxa"/>
            <w:bottom w:w="0" w:type="dxa"/>
            <w:right w:w="108" w:type="dxa"/>
          </w:tblCellMar>
        </w:tblPrEx>
        <w:trPr>
          <w:jc w:val="center"/>
        </w:trPr>
        <w:tc>
          <w:tcPr>
            <w:tcW w:w="8659" w:type="dxa"/>
            <w:gridSpan w:val="5"/>
          </w:tcPr>
          <w:p>
            <w:pPr>
              <w:widowControl/>
              <w:rPr>
                <w:rFonts w:ascii="宋体" w:hAnsi="宋体" w:eastAsia="宋体" w:cs="宋体"/>
                <w:color w:val="000000"/>
                <w:kern w:val="0"/>
                <w:sz w:val="24"/>
                <w:szCs w:val="24"/>
              </w:rPr>
            </w:pPr>
            <w:bookmarkStart w:id="0" w:name="_GoBack" w:colFirst="3" w:colLast="0"/>
            <w:r>
              <w:rPr>
                <w:rFonts w:hint="eastAsia" w:ascii="宋体" w:hAnsi="宋体" w:eastAsia="宋体" w:cs="宋体"/>
                <w:color w:val="000000"/>
                <w:kern w:val="0"/>
                <w:sz w:val="24"/>
                <w:szCs w:val="24"/>
              </w:rPr>
              <w:t>【案例回放】</w:t>
            </w:r>
          </w:p>
          <w:p>
            <w:pPr>
              <w:widowControl/>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师</w:t>
            </w:r>
            <w:r>
              <w:rPr>
                <w:rFonts w:hint="eastAsia" w:ascii="宋体" w:hAnsi="宋体" w:eastAsia="宋体" w:cs="宋体"/>
                <w:color w:val="000000"/>
                <w:kern w:val="0"/>
                <w:sz w:val="24"/>
                <w:szCs w:val="24"/>
                <w:lang w:eastAsia="zh-CN"/>
              </w:rPr>
              <w:t>：找一找身边还有哪些物体的面？尽可能完整的摸一摸并说一说它的面。</w:t>
            </w:r>
          </w:p>
          <w:p>
            <w:pPr>
              <w:widowControl/>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PPT展示各种各样的面。</w:t>
            </w:r>
          </w:p>
          <w:p>
            <w:pPr>
              <w:widowControl/>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师：老师也找到了物体的表面，仔细瞧，老师摸得对吗？（摸周长）</w:t>
            </w:r>
          </w:p>
          <w:p>
            <w:pPr>
              <w:widowControl/>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明确：周长是物体表面一周的长度，是一条线。</w:t>
            </w:r>
          </w:p>
          <w:p>
            <w:pPr>
              <w:widowControl/>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师：你能找一个比作业本封面大的面吗？</w:t>
            </w:r>
          </w:p>
          <w:p>
            <w:pPr>
              <w:widowControl/>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师：和同桌一人找一个物体表面比一比它们的大小。</w:t>
            </w:r>
          </w:p>
          <w:p>
            <w:pPr>
              <w:widowControl/>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揭题：我们就把物体表面的大小叫作它的面积，今天我们就来学习面积的含义。</w:t>
            </w:r>
          </w:p>
          <w:p>
            <w:pPr>
              <w:widowControl/>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师：数学书封面的大小就是数学书封面的面积，你能像老师这样说一说数学书封面的面积吗？自己说一说什么是黑板面的面积？</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师：同桌合作找一找并说一说身边其他物体的面积（可以下座位找一找）</w:t>
            </w:r>
          </w:p>
          <w:p>
            <w:pPr>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案例剖析</w:t>
            </w:r>
            <w:r>
              <w:rPr>
                <w:rFonts w:hint="eastAsia" w:ascii="宋体" w:hAnsi="宋体" w:eastAsia="宋体" w:cs="宋体"/>
                <w:color w:val="000000"/>
                <w:kern w:val="0"/>
                <w:sz w:val="24"/>
                <w:szCs w:val="24"/>
              </w:rPr>
              <w:t>】</w:t>
            </w:r>
          </w:p>
          <w:p>
            <w:pPr>
              <w:jc w:val="both"/>
              <w:rPr>
                <w:rFonts w:hint="eastAsia" w:ascii="Calibri" w:hAnsi="Calibri" w:eastAsia="宋体" w:cs="Times New Roman"/>
                <w:sz w:val="24"/>
                <w:szCs w:val="24"/>
                <w:lang w:eastAsia="zh-CN"/>
              </w:rPr>
            </w:pPr>
            <w:r>
              <w:rPr>
                <w:rFonts w:hint="eastAsia" w:ascii="宋体" w:hAnsi="宋体" w:eastAsia="宋体" w:cs="宋体"/>
                <w:color w:val="000000"/>
                <w:kern w:val="0"/>
                <w:sz w:val="24"/>
                <w:szCs w:val="24"/>
                <w:lang w:eastAsia="zh-CN"/>
              </w:rPr>
              <w:t xml:space="preserve">    </w:t>
            </w:r>
            <w:r>
              <w:rPr>
                <w:rFonts w:hint="eastAsia" w:ascii="Calibri" w:hAnsi="Calibri" w:eastAsia="宋体" w:cs="Times New Roman"/>
                <w:sz w:val="24"/>
                <w:szCs w:val="24"/>
                <w:lang w:eastAsia="zh-CN"/>
              </w:rPr>
              <w:t>《面积的含义》一课是苏教版三年级下册《长方形和正方形的面积》单元的第一课时，是学生认识了长方形和正方形以及学习了它们的周长的基础上来进行教学的。老师很好的运用教材和生活资源，通过同学观察、比较和触摸所熟悉的物体外表的大小来协助理解面积。面积的学习，是学生第一次接触，而且要很好地为以后学习长方形，正方形，圆形等平面几何图形的面积计算打下基础。</w:t>
            </w:r>
          </w:p>
          <w:p>
            <w:pPr>
              <w:ind w:firstLine="240" w:firstLineChars="100"/>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一、让学生在比较中探究新知</w:t>
            </w:r>
          </w:p>
          <w:p>
            <w:pPr>
              <w:ind w:firstLine="240" w:firstLineChars="100"/>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学生在二年级已经认识了物体的面，真切感知过“面”是什么，也认识了长方形、正方形、平行四边形这样的平面图形。再加上三年级学生具有一定的动手操作能力和新旧知识迁移的能力，这些都为本节课的学习做好了充沛的准备。于是老师采用比较法，通过不同物体的面或平面图形的比较，使同学认识到面积是有大有小的，在比较中理解面积的意义，教师的引导与学生的动手操作相结合，充分发挥了学习的主动性。比较之前，让学生看和摸各种物体的面，体会这些面是客观存在的，感受这些面的面积是有大小的。在比较之后，让学生听，听懂“黑板面的大小称为黑板面的面积，黑板面的面积比数学书面的面积大”这句话的意思，首次感知面积的含义。然后再举例说说物体外表的面积，并比比它们的大小。“比”的环节让同学在更大的范围里体会到:看到的物体都有面，每个面的大小就是这个面的面积，从而使同学形成初步的面积概念。</w:t>
            </w:r>
          </w:p>
          <w:p>
            <w:pPr>
              <w:ind w:firstLine="240" w:firstLineChars="100"/>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二、紧密联系学生的生活实际</w:t>
            </w:r>
          </w:p>
          <w:p>
            <w:pPr>
              <w:ind w:firstLine="240" w:firstLineChars="100"/>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在吃透教材编写意图的基础上，利用广泛的课程资源，选取学生熟悉的事例作为教学和练习的内容，如:手掌脸、桌面、数学书封面、黑板面、地图等。这样，既可以激发学生的学习兴趣，使他们感受到数学与生活的密切联系。又实现了教材预期的教学目标，获得了理想的教学效果。</w:t>
            </w:r>
          </w:p>
          <w:p>
            <w:pPr>
              <w:ind w:firstLine="240" w:firstLineChars="100"/>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摸一摸自己的手掌面，和老师比一比手掌面，观察数学书的封面、黑板的表面等等，用学生自己身边熟知的事物，借助于学生的生活经验，让学生充分感知，引发新知的生成。在学生沉浸于体验时，揭示出这节课的主题--面积的含义。及时地把生活经验概括为数学知识，把生活语言提升为数学语言，在这过程中，先就具体事物，说明“面积”的意义，为"面积"概念的形成打好感性认识的基础。不仅加深了学生对“物体的表面有大、有小，可以比较大小”的认识，而且为引进面积单位以及用直接计量法求面积打下基础。</w:t>
            </w:r>
          </w:p>
          <w:p>
            <w:pPr>
              <w:ind w:firstLine="240" w:firstLineChars="100"/>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三、把握探索时机，对学生实施有效的引导</w:t>
            </w:r>
          </w:p>
          <w:p>
            <w:pPr>
              <w:ind w:firstLine="240" w:firstLineChars="100"/>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在整堂课中，老师努力使学生成为学习的主人，为学生提供积极思考与合作交流的空间，不断地引导学生在观察、操作、猜测、验证、推理和交流的活动中，逐步形成自己对数学知识的理解与有效的学习策略。教学设计注意从解决问题中提升概念，方法和规律，并有效地发挥了活动的作用。给学生提供充足的时间和空间，充分挖掘学生的潜力。在教学平面图形面积大小比较时，先让学生充分讨论比较的方法，然后通过实践，操作验证自己的猜测，这个时候的学生，是带着证明自己的需要在思考，策略的探求已经从“外压”转化为求知的“内需”，比较面积大小，学生首先可以通过观察运用直觉思维作出判断。如果是面积相差不多的两个图形，学生则会选择用其它的方法:如测量法、重叠法、数方格的方法等，而面对教科书“试一试”第1题，比较两个图形的面积大小，图中没有现成的格子，但有了前面的学习，特别是学生对比较图形面积的方法的掌握，自然想到用先画格子再数的方法，这样初步感受了专门用于计量面积的这种小方格，就是面积单位，这就为下一节课学习“面积单位"做好了铺垫。这样的教学过程层层深入，学生全面、主动地参与到学习过程中，使不同的学生在数学学习中获得不同的发展，学生的个性得到张扬，让学生经历了知识形成的全过程，加深了学生对面积含义的理解，同时培养了学生的分析，比较能力与合作意识。</w:t>
            </w:r>
          </w:p>
          <w:p>
            <w:pPr>
              <w:ind w:firstLine="240" w:firstLineChars="100"/>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本节课的特色是给了学生丰富的形象感知，结构严密，环环相扣，由于精心的设计学生对面积的概念把握的非常好。通过看、摸、比、做的过程，不仅认识了面积，而且感受了面积和周长有本质的区别。学生在课堂上学得非常开心，很多学生也体会到了生活中处处有数学，激发了学生对数学的强烈兴趣</w:t>
            </w:r>
          </w:p>
          <w:p>
            <w:pPr>
              <w:jc w:val="left"/>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 xml:space="preserve">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9" w:type="dxa"/>
            <w:gridSpan w:val="5"/>
            <w:vAlign w:val="top"/>
          </w:tcPr>
          <w:p>
            <w:pPr>
              <w:jc w:val="left"/>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剖析要点：在剖析中围绕“深度时刻”的理念，结合课堂案例，力求做到精当凝练，有观点阐述，有反思重建。</w:t>
            </w:r>
          </w:p>
        </w:tc>
      </w:tr>
    </w:tbl>
    <w:p>
      <w:pPr>
        <w:rPr>
          <w:rFonts w:hint="eastAsia" w:ascii="黑体" w:hAnsi="黑体" w:eastAsia="黑体" w:cs="黑体"/>
          <w:b/>
          <w:bCs/>
          <w:color w:val="000000"/>
          <w:sz w:val="36"/>
          <w:szCs w:val="36"/>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2023-05-12T15:01:00Z</dcterms:created>
  <dc:creator>USER</dc:creator>
  <cp:lastModifiedBy>毛不易的心上人</cp:lastModifiedBy>
  <dcterms:modified xsi:type="dcterms:W3CDTF">2023-05-12T15:55:21Z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2052-11.33.1</vt:lpwstr>
  </property>
  <property fmtid="{D5CDD505-2E9C-101B-9397-08002B2CF9AE}" pid="3" name="ICV">
    <vt:lpwstr>5F4264090426BBC0E9F05D64A0D68415_33</vt:lpwstr>
  </property>
</Properties>
</file>