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关于举办常州市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小学语文</w:t>
      </w:r>
      <w:r>
        <w:rPr>
          <w:rFonts w:hint="eastAsia" w:ascii="黑体" w:hAnsi="黑体" w:eastAsia="黑体" w:cs="黑体"/>
          <w:sz w:val="28"/>
          <w:szCs w:val="28"/>
        </w:rPr>
        <w:t>新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课标专题培训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暨同题异构活动</w:t>
      </w:r>
      <w:r>
        <w:rPr>
          <w:rFonts w:hint="eastAsia" w:ascii="黑体" w:hAnsi="黑体" w:eastAsia="黑体" w:cs="黑体"/>
          <w:sz w:val="28"/>
          <w:szCs w:val="28"/>
        </w:rPr>
        <w:t>的通知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各辖市区教师发展中心：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为深入贯彻落实“双减”与新课标精神，深化语文课程改革，扎实推进</w:t>
      </w:r>
      <w:r>
        <w:rPr>
          <w:rFonts w:hint="eastAsia" w:ascii="宋体" w:hAnsi="宋体" w:eastAsia="宋体" w:cs="宋体"/>
          <w:bCs/>
          <w:sz w:val="24"/>
          <w:lang w:eastAsia="zh-CN"/>
        </w:rPr>
        <w:t>“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30+10讲练一体化</w:t>
      </w:r>
      <w:r>
        <w:rPr>
          <w:rFonts w:hint="eastAsia" w:ascii="宋体" w:hAnsi="宋体" w:eastAsia="宋体" w:cs="宋体"/>
          <w:bCs/>
          <w:sz w:val="24"/>
          <w:lang w:eastAsia="zh-CN"/>
        </w:rPr>
        <w:t>”课堂教学模式研究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</w:rPr>
        <w:t>促进学生学科核心素养的发展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常州市教育科学研究院将开展</w:t>
      </w:r>
      <w:r>
        <w:rPr>
          <w:rFonts w:hint="eastAsia"/>
          <w:sz w:val="24"/>
          <w:lang w:val="en-US" w:eastAsia="zh-CN"/>
        </w:rPr>
        <w:t>小学语文</w:t>
      </w:r>
      <w:r>
        <w:rPr>
          <w:rFonts w:hint="eastAsia"/>
          <w:sz w:val="24"/>
        </w:rPr>
        <w:t>新课标专题培训</w:t>
      </w:r>
      <w:r>
        <w:rPr>
          <w:rFonts w:hint="eastAsia"/>
          <w:sz w:val="24"/>
          <w:lang w:val="en-US" w:eastAsia="zh-CN"/>
        </w:rPr>
        <w:t>暨同题异构</w:t>
      </w:r>
      <w:r>
        <w:rPr>
          <w:rFonts w:hint="eastAsia"/>
          <w:sz w:val="24"/>
        </w:rPr>
        <w:t>活动，具体安排如下：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一、活动时间：202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4月21日下午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sz w:val="24"/>
          <w:lang w:val="en-US" w:eastAsia="zh-Hans"/>
        </w:rPr>
        <w:t>二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活动地点：</w:t>
      </w:r>
      <w:r>
        <w:rPr>
          <w:rFonts w:hint="eastAsia"/>
          <w:color w:val="auto"/>
          <w:sz w:val="24"/>
          <w:lang w:val="en-US" w:eastAsia="zh-CN"/>
        </w:rPr>
        <w:t>常州市觅渡桥小学4号楼六楼演播厅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参加对象：常州市各</w:t>
      </w:r>
      <w:r>
        <w:rPr>
          <w:rFonts w:hint="eastAsia"/>
          <w:sz w:val="24"/>
          <w:lang w:val="en-US" w:eastAsia="zh-Hans"/>
        </w:rPr>
        <w:t>辖市</w:t>
      </w:r>
      <w:r>
        <w:rPr>
          <w:rFonts w:hint="eastAsia"/>
          <w:sz w:val="24"/>
          <w:lang w:val="en-US" w:eastAsia="zh-CN"/>
        </w:rPr>
        <w:t>（区）</w:t>
      </w:r>
      <w:r>
        <w:rPr>
          <w:rFonts w:hint="eastAsia"/>
          <w:sz w:val="24"/>
          <w:lang w:val="en-US" w:eastAsia="zh-Hans"/>
        </w:rPr>
        <w:t>小语</w:t>
      </w:r>
      <w:r>
        <w:rPr>
          <w:rFonts w:hint="eastAsia"/>
          <w:sz w:val="24"/>
        </w:rPr>
        <w:t>教研员</w:t>
      </w:r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  <w:lang w:val="en-US" w:eastAsia="zh-Hans"/>
        </w:rPr>
        <w:t>各辖市（区）小学语文骨干教师</w:t>
      </w:r>
      <w:r>
        <w:rPr>
          <w:rFonts w:hint="default"/>
          <w:sz w:val="24"/>
          <w:lang w:eastAsia="zh-Hans"/>
        </w:rPr>
        <w:t>40</w:t>
      </w:r>
      <w:r>
        <w:rPr>
          <w:rFonts w:hint="eastAsia"/>
          <w:sz w:val="24"/>
          <w:lang w:val="en-US" w:eastAsia="zh-Hans"/>
        </w:rPr>
        <w:t>人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  <w:lang w:val="en-US" w:eastAsia="zh-Hans"/>
        </w:rPr>
        <w:t>、活动安排：</w:t>
      </w:r>
    </w:p>
    <w:tbl>
      <w:tblPr>
        <w:tblStyle w:val="5"/>
        <w:tblW w:w="8329" w:type="dxa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775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34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执教老师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13:</w:t>
            </w:r>
            <w:r>
              <w:rPr>
                <w:rFonts w:hint="default"/>
                <w:sz w:val="24"/>
                <w:vertAlign w:val="baseline"/>
                <w:lang w:eastAsia="zh-CN"/>
              </w:rPr>
              <w:t>3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0-</w:t>
            </w:r>
            <w:r>
              <w:rPr>
                <w:rFonts w:hint="default"/>
                <w:sz w:val="24"/>
                <w:vertAlign w:val="baseline"/>
                <w:lang w:eastAsia="zh-CN"/>
              </w:rPr>
              <w:t>14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10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四年级《塞下曲》</w:t>
            </w:r>
          </w:p>
        </w:tc>
        <w:tc>
          <w:tcPr>
            <w:tcW w:w="34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觅渡教育集团 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vertAlign w:val="baseline"/>
                <w:lang w:eastAsia="zh-CN"/>
              </w:rPr>
              <w:t>4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20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-1</w:t>
            </w:r>
            <w:r>
              <w:rPr>
                <w:rFonts w:hint="default"/>
                <w:sz w:val="24"/>
                <w:vertAlign w:val="baseline"/>
                <w:lang w:eastAsia="zh-CN"/>
              </w:rPr>
              <w:t>5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00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vertAlign w:val="baseline"/>
                <w:lang w:val="en-US" w:eastAsia="zh-Hans"/>
              </w:rPr>
              <w:t>四年级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《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墨梅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》</w:t>
            </w:r>
          </w:p>
        </w:tc>
        <w:tc>
          <w:tcPr>
            <w:tcW w:w="34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vertAlign w:val="baseline"/>
                <w:lang w:val="en-US" w:eastAsia="zh-Hans"/>
              </w:rPr>
              <w:t>经开区第二实验小学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顾金莲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eastAsia="zh-CN"/>
              </w:rPr>
              <w:t>15</w:t>
            </w:r>
            <w:r>
              <w:rPr>
                <w:rFonts w:hint="eastAsia"/>
                <w:sz w:val="24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4"/>
                <w:vertAlign w:val="baseline"/>
                <w:lang w:eastAsia="zh-Hans"/>
              </w:rPr>
              <w:t>10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-16:00</w:t>
            </w:r>
          </w:p>
        </w:tc>
        <w:tc>
          <w:tcPr>
            <w:tcW w:w="6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研讨交流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  <w:lang w:val="en-US" w:eastAsia="zh-Hans"/>
        </w:rPr>
        <w:t>、注意事项：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CN"/>
        </w:rPr>
        <w:t>常州市觅渡桥小学地址为钟楼区延陵西路190号。</w:t>
      </w:r>
      <w:r>
        <w:rPr>
          <w:rFonts w:hint="eastAsia"/>
          <w:sz w:val="24"/>
          <w:lang w:val="en-US" w:eastAsia="zh-Hans"/>
        </w:rPr>
        <w:t>校内无法停车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建议绿色出行或在学校附近找停车场。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Hans"/>
        </w:rPr>
        <w:t xml:space="preserve">           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常州市教育科学研究院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DcwY2IyYTZjNzk4ZTVkYmFhYWJkZDk2MzIxMjEifQ=="/>
  </w:docVars>
  <w:rsids>
    <w:rsidRoot w:val="7FD7A63A"/>
    <w:rsid w:val="00506DC1"/>
    <w:rsid w:val="00665973"/>
    <w:rsid w:val="00750409"/>
    <w:rsid w:val="00A8632C"/>
    <w:rsid w:val="00C054BA"/>
    <w:rsid w:val="00C202BB"/>
    <w:rsid w:val="00F12BB0"/>
    <w:rsid w:val="00F3498A"/>
    <w:rsid w:val="06FD75E4"/>
    <w:rsid w:val="10CB10FE"/>
    <w:rsid w:val="3E3B3DB6"/>
    <w:rsid w:val="65AF3E56"/>
    <w:rsid w:val="6D39133F"/>
    <w:rsid w:val="6FFBEF30"/>
    <w:rsid w:val="74616205"/>
    <w:rsid w:val="7B5EE0A3"/>
    <w:rsid w:val="7EE21A3B"/>
    <w:rsid w:val="7FD7A63A"/>
    <w:rsid w:val="EFF76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388</Characters>
  <Lines>2</Lines>
  <Paragraphs>1</Paragraphs>
  <TotalTime>12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2022-11-01T04:18:00Z</dcterms:created>
  <dc:creator>zhujieru</dc:creator>
  <cp:lastModifiedBy>童心</cp:lastModifiedBy>
  <dcterms:modified xsi:type="dcterms:W3CDTF">2023-04-17T08:31:35Z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78795E87B18A4200B5A52A0BF7293295</vt:lpwstr>
  </property>
</Properties>
</file>