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2" w:rsidRDefault="00AD4501" w:rsidP="00AD4501">
      <w:pPr>
        <w:spacing w:beforeLines="50" w:afterLines="5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武进区中小学财务及</w:t>
      </w:r>
      <w:r>
        <w:rPr>
          <w:rFonts w:ascii="方正小标宋简体" w:eastAsia="方正小标宋简体" w:hint="eastAsia"/>
          <w:sz w:val="36"/>
          <w:szCs w:val="36"/>
        </w:rPr>
        <w:t>后勤</w:t>
      </w:r>
      <w:r>
        <w:rPr>
          <w:rFonts w:ascii="方正小标宋简体" w:eastAsia="方正小标宋简体" w:hint="eastAsia"/>
          <w:sz w:val="36"/>
          <w:szCs w:val="36"/>
        </w:rPr>
        <w:t>管理考核评分细则</w:t>
      </w:r>
    </w:p>
    <w:p w:rsidR="00AD4501" w:rsidRDefault="00AD4501" w:rsidP="00AD4501">
      <w:pPr>
        <w:spacing w:beforeLines="50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2022.11修订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5400"/>
        <w:gridCol w:w="1034"/>
      </w:tblGrid>
      <w:tr w:rsidR="00E40CB2">
        <w:trPr>
          <w:trHeight w:val="794"/>
        </w:trPr>
        <w:tc>
          <w:tcPr>
            <w:tcW w:w="208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考核项目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具体内容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分值</w:t>
            </w:r>
          </w:p>
        </w:tc>
      </w:tr>
      <w:tr w:rsidR="00E40CB2">
        <w:trPr>
          <w:trHeight w:val="726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会计核算管理</w:t>
            </w:r>
          </w:p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、行政、食堂必须分别单独开设会计账簿，单独设立银行账户，进行规范的财务核算。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1327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、主办会计与出纳会计职责分离，钱账分管，相互监督。出纳人员不得兼任稽核、档案和收入、费用、债权债务账目的登记工作，银行留存印鉴分别保管。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1061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、原始支出票据须有经手人证明人签字，会计审核业务及单据的真实性、合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性，校长审批后才报销列支。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1326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、根据原始凭证内容准确运用会计科目，真实反映会计事项；保证会计信息的真实性，准确性。会计处理方法符合要求，会计记录清晰、会计报表规范。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81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收入管理</w:t>
            </w:r>
          </w:p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、各项收入必须全部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入行政账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，不得记入食堂、工会账，不设“小金库”，不做“账外账”。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39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、严格执行收支两条线，所有收入须全额解缴财政专户。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679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、收费按要求公示并按标准执行，代收服务性项目须事前发放《征求意见书》，坚持自愿原则。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990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经费使用管理</w:t>
            </w:r>
          </w:p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15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、大额采购均附有详细清单，品名、规格、单价、数量、金额等要素清晰，手续齐全。属政府采购目录的必须履行政府采购手续。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5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、重大经济事项按照本单位“三重一大”规定执行。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1075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、“三公经费”按照相关规定报销，招待费附一票四单，出国经费需事前审批，公务用车费用规范审批。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39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、差旅费、培训费、劳务费须按相关报销规定执行，手续齐全。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1382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、日常的零星维修结报，必须提供清单，并开具正式发票。维修、文化布置和绿化等项目，金额超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万元的，应参照基建项目管理，完工后要进行审计。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913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食堂财务管理</w:t>
            </w:r>
          </w:p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15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、伙食费收入全部及时缴存财政专户，无挪用、坐收坐支现象。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4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、严格执行《常州市中小学食堂财务管理制度》、《武进区学校食堂会计核算办法》的规定，无列支与学生伙食无关的费用，无教师福利支出的现象</w:t>
            </w:r>
            <w:r>
              <w:rPr>
                <w:rFonts w:ascii="仿宋_GB2312" w:eastAsia="仿宋_GB2312" w:hint="eastAsia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>食堂财务清楚，支出票据规范，成本核算合理，学期末及时结算并清退伙食费。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2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、教职工在校用餐按规定交纳伙食费。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424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代办费管理</w:t>
            </w:r>
          </w:p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、代办项目收费按规定入账，不得在账外收支。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24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、及时结算代办费用，所有结余和折扣一律清退给学生。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694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固定资产管理</w:t>
            </w:r>
          </w:p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  <w:r>
              <w:rPr>
                <w:rFonts w:ascii="仿宋_GB2312" w:eastAsia="仿宋_GB2312" w:hint="eastAsia"/>
                <w:sz w:val="24"/>
              </w:rPr>
              <w:t>、建立健全学校固定资产管理制度，并能严格执行。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694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、定期进行固定资产盘点，每年至少盘点一次，做到账实相符、账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相符。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694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、严格执行固定资产处置报废制度，规范审批流程，未经审批不得处置。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694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、教育资产监管网登录及时，数据准确，操作规范。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577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数据上报管理</w:t>
            </w:r>
          </w:p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15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、按规定时间和要求完成数据资料上报工作。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515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、上报的数据资料内容完整、数据准确。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4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阳光食堂平台管理（</w:t>
            </w:r>
            <w:r>
              <w:rPr>
                <w:rFonts w:ascii="仿宋_GB2312" w:eastAsia="仿宋_GB2312" w:hint="eastAsia"/>
                <w:b/>
                <w:sz w:val="24"/>
              </w:rPr>
              <w:t>15</w:t>
            </w:r>
            <w:r>
              <w:rPr>
                <w:rFonts w:ascii="仿宋_GB2312" w:eastAsia="仿宋_GB2312" w:hint="eastAsia"/>
                <w:b/>
                <w:sz w:val="24"/>
              </w:rPr>
              <w:t>分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  <w:r>
              <w:rPr>
                <w:rFonts w:ascii="仿宋_GB2312" w:eastAsia="仿宋_GB2312" w:hint="eastAsia"/>
                <w:sz w:val="24"/>
              </w:rPr>
              <w:t>、按照阳光食堂信息化监管平台要求每日登录，规范操作，及时处理预警。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4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  <w:r>
              <w:rPr>
                <w:rFonts w:ascii="仿宋_GB2312" w:eastAsia="仿宋_GB2312" w:hint="eastAsia"/>
                <w:sz w:val="24"/>
              </w:rPr>
              <w:t>、每天按阳光食堂信息化监管平台操作要求，做好出入库记录，陪餐记录，食谱，食品留样，晨检和消毒七项工作，并按要求准确准时上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传系统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内过磅出库图片，陪餐图片，食谱图片，食品留样图片。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4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  <w:r>
              <w:rPr>
                <w:rFonts w:ascii="仿宋_GB2312" w:eastAsia="仿宋_GB2312" w:hint="eastAsia"/>
                <w:sz w:val="24"/>
              </w:rPr>
              <w:t>、按阳光食堂信息化监管平台操作要求，规范进行供应商采购招标，及时上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传供应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商基本信息并提供上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传供应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商合法营业执照和食品经营许可证。</w:t>
            </w:r>
          </w:p>
        </w:tc>
        <w:tc>
          <w:tcPr>
            <w:tcW w:w="1034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4"/>
        </w:trPr>
        <w:tc>
          <w:tcPr>
            <w:tcW w:w="2088" w:type="dxa"/>
            <w:vMerge w:val="restart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资助工作管理（</w:t>
            </w:r>
            <w:r>
              <w:rPr>
                <w:rFonts w:ascii="仿宋_GB2312" w:eastAsia="仿宋_GB2312" w:hint="eastAsia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分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5400" w:type="dxa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  <w:r>
              <w:rPr>
                <w:rFonts w:ascii="仿宋_GB2312" w:eastAsia="仿宋_GB2312" w:hint="eastAsia"/>
                <w:sz w:val="24"/>
              </w:rPr>
              <w:t>、资助政策全落实，资助申报无遗漏。</w:t>
            </w:r>
          </w:p>
        </w:tc>
        <w:tc>
          <w:tcPr>
            <w:tcW w:w="1034" w:type="dxa"/>
          </w:tcPr>
          <w:p w:rsidR="00E40CB2" w:rsidRDefault="00E40CB2">
            <w:pPr>
              <w:rPr>
                <w:rFonts w:ascii="仿宋_GB2312" w:eastAsia="仿宋_GB2312"/>
                <w:sz w:val="24"/>
              </w:rPr>
            </w:pPr>
          </w:p>
          <w:p w:rsidR="00E40CB2" w:rsidRDefault="00AD4501">
            <w:pPr>
              <w:ind w:firstLine="356"/>
              <w:jc w:val="left"/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4"/>
        </w:trPr>
        <w:tc>
          <w:tcPr>
            <w:tcW w:w="2088" w:type="dxa"/>
            <w:vMerge/>
            <w:vAlign w:val="center"/>
          </w:tcPr>
          <w:p w:rsidR="00E40CB2" w:rsidRDefault="00E40CB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0" w:type="dxa"/>
          </w:tcPr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  <w:r>
              <w:rPr>
                <w:rFonts w:ascii="仿宋_GB2312" w:eastAsia="仿宋_GB2312" w:hint="eastAsia"/>
                <w:sz w:val="24"/>
              </w:rPr>
              <w:t>、各项数据、信息规范、准确填报。</w:t>
            </w:r>
          </w:p>
        </w:tc>
        <w:tc>
          <w:tcPr>
            <w:tcW w:w="1034" w:type="dxa"/>
          </w:tcPr>
          <w:p w:rsidR="00E40CB2" w:rsidRDefault="00E40CB2">
            <w:pPr>
              <w:rPr>
                <w:rFonts w:ascii="仿宋_GB2312" w:eastAsia="仿宋_GB2312"/>
                <w:sz w:val="24"/>
              </w:rPr>
            </w:pPr>
          </w:p>
          <w:p w:rsidR="00E40CB2" w:rsidRDefault="00AD4501">
            <w:pPr>
              <w:ind w:firstLine="290"/>
              <w:jc w:val="left"/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E40CB2">
        <w:trPr>
          <w:trHeight w:val="794"/>
        </w:trPr>
        <w:tc>
          <w:tcPr>
            <w:tcW w:w="208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总计</w:t>
            </w:r>
            <w:r>
              <w:rPr>
                <w:rFonts w:ascii="仿宋_GB2312" w:eastAsia="仿宋_GB2312" w:hint="eastAsia"/>
                <w:b/>
                <w:sz w:val="24"/>
              </w:rPr>
              <w:t>100</w:t>
            </w:r>
            <w:r>
              <w:rPr>
                <w:rFonts w:ascii="仿宋_GB2312" w:eastAsia="仿宋_GB2312" w:hint="eastAsia"/>
                <w:b/>
                <w:sz w:val="24"/>
              </w:rPr>
              <w:t>分</w:t>
            </w:r>
          </w:p>
        </w:tc>
        <w:tc>
          <w:tcPr>
            <w:tcW w:w="5400" w:type="dxa"/>
          </w:tcPr>
          <w:p w:rsidR="00E40CB2" w:rsidRDefault="00E40C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</w:tcPr>
          <w:p w:rsidR="00E40CB2" w:rsidRDefault="00E40CB2">
            <w:pPr>
              <w:rPr>
                <w:rFonts w:ascii="仿宋_GB2312" w:eastAsia="仿宋_GB2312"/>
                <w:sz w:val="24"/>
              </w:rPr>
            </w:pPr>
          </w:p>
          <w:p w:rsidR="00E40CB2" w:rsidRDefault="00AD45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</w:tbl>
    <w:p w:rsidR="00E40CB2" w:rsidRDefault="00AD4501" w:rsidP="00AD4501">
      <w:pPr>
        <w:spacing w:afterLines="50" w:line="500" w:lineRule="exact"/>
        <w:ind w:firstLineChars="196" w:firstLine="5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武进区中小学财务及资产管理考核评分细则原始</w:t>
      </w:r>
      <w:proofErr w:type="gramStart"/>
      <w:r>
        <w:rPr>
          <w:rFonts w:ascii="仿宋_GB2312" w:eastAsia="仿宋_GB2312" w:hint="eastAsia"/>
          <w:sz w:val="28"/>
          <w:szCs w:val="28"/>
        </w:rPr>
        <w:t>分统一</w:t>
      </w:r>
      <w:proofErr w:type="gramEnd"/>
      <w:r>
        <w:rPr>
          <w:rFonts w:ascii="仿宋_GB2312" w:eastAsia="仿宋_GB2312" w:hint="eastAsia"/>
          <w:sz w:val="28"/>
          <w:szCs w:val="28"/>
        </w:rPr>
        <w:t>换算成办学水平考核得分，具体换算权重参照下表：</w:t>
      </w:r>
    </w:p>
    <w:tbl>
      <w:tblPr>
        <w:tblStyle w:val="a5"/>
        <w:tblW w:w="0" w:type="auto"/>
        <w:jc w:val="center"/>
        <w:tblLook w:val="04A0"/>
      </w:tblPr>
      <w:tblGrid>
        <w:gridCol w:w="2098"/>
        <w:gridCol w:w="2121"/>
        <w:gridCol w:w="1843"/>
      </w:tblGrid>
      <w:tr w:rsidR="00E40CB2">
        <w:trPr>
          <w:trHeight w:val="454"/>
          <w:jc w:val="center"/>
        </w:trPr>
        <w:tc>
          <w:tcPr>
            <w:tcW w:w="209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赋分换算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档次</w:t>
            </w:r>
          </w:p>
        </w:tc>
        <w:tc>
          <w:tcPr>
            <w:tcW w:w="2121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原始分</w:t>
            </w:r>
          </w:p>
        </w:tc>
        <w:tc>
          <w:tcPr>
            <w:tcW w:w="1843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权重分</w:t>
            </w:r>
          </w:p>
        </w:tc>
      </w:tr>
      <w:tr w:rsidR="00E40CB2">
        <w:trPr>
          <w:trHeight w:val="454"/>
          <w:jc w:val="center"/>
        </w:trPr>
        <w:tc>
          <w:tcPr>
            <w:tcW w:w="209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1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90-100</w:t>
            </w:r>
          </w:p>
        </w:tc>
        <w:tc>
          <w:tcPr>
            <w:tcW w:w="1843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E40CB2">
        <w:trPr>
          <w:trHeight w:val="454"/>
          <w:jc w:val="center"/>
        </w:trPr>
        <w:tc>
          <w:tcPr>
            <w:tcW w:w="209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121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80-89</w:t>
            </w:r>
          </w:p>
        </w:tc>
        <w:tc>
          <w:tcPr>
            <w:tcW w:w="1843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E40CB2">
        <w:trPr>
          <w:trHeight w:val="454"/>
          <w:jc w:val="center"/>
        </w:trPr>
        <w:tc>
          <w:tcPr>
            <w:tcW w:w="209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121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70-79</w:t>
            </w:r>
          </w:p>
        </w:tc>
        <w:tc>
          <w:tcPr>
            <w:tcW w:w="1843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E40CB2">
        <w:trPr>
          <w:trHeight w:val="454"/>
          <w:jc w:val="center"/>
        </w:trPr>
        <w:tc>
          <w:tcPr>
            <w:tcW w:w="209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121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60-69</w:t>
            </w:r>
          </w:p>
        </w:tc>
        <w:tc>
          <w:tcPr>
            <w:tcW w:w="1843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E40CB2">
        <w:trPr>
          <w:trHeight w:val="454"/>
          <w:jc w:val="center"/>
        </w:trPr>
        <w:tc>
          <w:tcPr>
            <w:tcW w:w="209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2121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  <w:r>
              <w:rPr>
                <w:rFonts w:ascii="仿宋_GB2312" w:eastAsia="仿宋_GB2312" w:hint="eastAsia"/>
                <w:sz w:val="24"/>
              </w:rPr>
              <w:t>分以下</w:t>
            </w:r>
          </w:p>
        </w:tc>
        <w:tc>
          <w:tcPr>
            <w:tcW w:w="1843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不得分</w:t>
            </w:r>
          </w:p>
        </w:tc>
      </w:tr>
      <w:tr w:rsidR="00E40CB2">
        <w:trPr>
          <w:trHeight w:val="454"/>
          <w:jc w:val="center"/>
        </w:trPr>
        <w:tc>
          <w:tcPr>
            <w:tcW w:w="2098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121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查实存在小金库</w:t>
            </w:r>
          </w:p>
        </w:tc>
        <w:tc>
          <w:tcPr>
            <w:tcW w:w="1843" w:type="dxa"/>
            <w:vAlign w:val="center"/>
          </w:tcPr>
          <w:p w:rsidR="00E40CB2" w:rsidRDefault="00AD45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不得分</w:t>
            </w:r>
          </w:p>
        </w:tc>
      </w:tr>
    </w:tbl>
    <w:p w:rsidR="00E40CB2" w:rsidRDefault="00E40CB2">
      <w:pPr>
        <w:rPr>
          <w:rFonts w:ascii="仿宋_GB2312" w:eastAsia="仿宋_GB2312"/>
          <w:sz w:val="28"/>
          <w:szCs w:val="28"/>
        </w:rPr>
      </w:pPr>
    </w:p>
    <w:sectPr w:rsidR="00E40CB2" w:rsidSect="00E4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wYjdkNTdmMzRmOTlkZDQ3YzkyYmFlNzI5ZWUwNGMifQ=="/>
  </w:docVars>
  <w:rsids>
    <w:rsidRoot w:val="00644023"/>
    <w:rsid w:val="000209DE"/>
    <w:rsid w:val="000276B3"/>
    <w:rsid w:val="000717EE"/>
    <w:rsid w:val="0016636D"/>
    <w:rsid w:val="001E734F"/>
    <w:rsid w:val="00203A7B"/>
    <w:rsid w:val="002770BB"/>
    <w:rsid w:val="00382552"/>
    <w:rsid w:val="003915D7"/>
    <w:rsid w:val="00394608"/>
    <w:rsid w:val="003A74BC"/>
    <w:rsid w:val="00477ECE"/>
    <w:rsid w:val="00597D71"/>
    <w:rsid w:val="005B5FB4"/>
    <w:rsid w:val="00644023"/>
    <w:rsid w:val="008162D1"/>
    <w:rsid w:val="00854FE1"/>
    <w:rsid w:val="008D3E75"/>
    <w:rsid w:val="00942CA4"/>
    <w:rsid w:val="00A16561"/>
    <w:rsid w:val="00A33E3D"/>
    <w:rsid w:val="00AD4501"/>
    <w:rsid w:val="00B02B2E"/>
    <w:rsid w:val="00B32C6B"/>
    <w:rsid w:val="00B55E6D"/>
    <w:rsid w:val="00B55F26"/>
    <w:rsid w:val="00B63420"/>
    <w:rsid w:val="00BB4D93"/>
    <w:rsid w:val="00C66F59"/>
    <w:rsid w:val="00DD3C82"/>
    <w:rsid w:val="00E40CB2"/>
    <w:rsid w:val="00E95662"/>
    <w:rsid w:val="00ED5446"/>
    <w:rsid w:val="205D2123"/>
    <w:rsid w:val="211D53BF"/>
    <w:rsid w:val="28763D82"/>
    <w:rsid w:val="36A132DE"/>
    <w:rsid w:val="3CCF18A2"/>
    <w:rsid w:val="58477EF5"/>
    <w:rsid w:val="5F3D75FF"/>
    <w:rsid w:val="61D91338"/>
    <w:rsid w:val="6D090170"/>
    <w:rsid w:val="7D2F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4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40C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40CB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0C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1385</Characters>
  <Application>Microsoft Office Word</Application>
  <DocSecurity>0</DocSecurity>
  <Lines>11</Lines>
  <Paragraphs>3</Paragraphs>
  <ScaleCrop>false</ScaleCrop>
  <Company>Win7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邵庆茹</dc:creator>
  <cp:lastModifiedBy>何兰芹</cp:lastModifiedBy>
  <cp:revision>29</cp:revision>
  <cp:lastPrinted>2022-11-17T02:46:00Z</cp:lastPrinted>
  <dcterms:created xsi:type="dcterms:W3CDTF">2021-04-23T01:58:00Z</dcterms:created>
  <dcterms:modified xsi:type="dcterms:W3CDTF">2022-11-18T12:18:00Z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2E662DB8075844BF84FF189C0AFFBDC9</vt:lpwstr>
  </property>
</Properties>
</file>