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0" w:lineRule="atLeast"/>
        <w:jc w:val="center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罗溪镇中心幼儿园20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—202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学年度第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学期观察记录表</w:t>
      </w:r>
    </w:p>
    <w:tbl>
      <w:tblPr>
        <w:tblStyle w:val="3"/>
        <w:tblW w:w="9850" w:type="dxa"/>
        <w:tblInd w:w="-6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2428"/>
        <w:gridCol w:w="1661"/>
        <w:gridCol w:w="1143"/>
        <w:gridCol w:w="786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850" w:type="dxa"/>
            <w:gridSpan w:val="6"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观察对象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b w:val="0"/>
                <w:bCs w:val="0"/>
                <w:color w:val="000000"/>
                <w:szCs w:val="21"/>
                <w:lang w:eastAsia="zh-CN"/>
              </w:rPr>
              <w:t>谢轩宇（</w:t>
            </w:r>
            <w:r>
              <w:rPr>
                <w:rFonts w:hint="eastAsia" w:ascii="宋体" w:hAnsi="宋体"/>
                <w:b w:val="0"/>
                <w:bCs w:val="0"/>
                <w:color w:val="000000"/>
                <w:szCs w:val="21"/>
                <w:lang w:val="en-US" w:eastAsia="zh-CN"/>
              </w:rPr>
              <w:t>6周岁零三个月）X</w:t>
            </w:r>
            <w:r>
              <w:rPr>
                <w:rFonts w:hint="eastAsia" w:ascii="宋体" w:hAnsi="宋体"/>
                <w:b w:val="0"/>
                <w:bCs w:val="0"/>
                <w:color w:val="000000"/>
                <w:szCs w:val="21"/>
                <w:lang w:eastAsia="zh-CN"/>
              </w:rPr>
              <w:t>、顾乐彤</w:t>
            </w:r>
            <w:r>
              <w:rPr>
                <w:rFonts w:hint="eastAsia" w:ascii="宋体" w:hAnsi="宋体"/>
                <w:b w:val="0"/>
                <w:bCs w:val="0"/>
                <w:color w:val="000000"/>
                <w:szCs w:val="21"/>
                <w:lang w:val="en-US" w:eastAsia="zh-CN"/>
              </w:rPr>
              <w:t>(5周岁零9个月）G</w:t>
            </w:r>
          </w:p>
          <w:p>
            <w:pPr>
              <w:autoSpaceDN w:val="0"/>
              <w:spacing w:line="331" w:lineRule="auto"/>
              <w:rPr>
                <w:rFonts w:hint="eastAsia" w:ascii="宋体" w:hAnsi="宋体" w:eastAsia="宋体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观察者：</w:t>
            </w:r>
            <w:r>
              <w:rPr>
                <w:rFonts w:hint="eastAsia" w:ascii="宋体" w:hAnsi="宋体"/>
                <w:b w:val="0"/>
                <w:bCs w:val="0"/>
                <w:color w:val="000000"/>
                <w:szCs w:val="21"/>
                <w:lang w:eastAsia="zh-CN"/>
              </w:rPr>
              <w:t>恽昕轶</w:t>
            </w:r>
          </w:p>
          <w:p>
            <w:pPr>
              <w:autoSpaceDN w:val="0"/>
              <w:spacing w:line="331" w:lineRule="auto"/>
              <w:rPr>
                <w:rFonts w:hint="eastAsia" w:ascii="宋体" w:hAnsi="宋体" w:eastAsia="宋体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观察地点：</w:t>
            </w:r>
            <w:r>
              <w:rPr>
                <w:rFonts w:hint="eastAsia" w:ascii="宋体" w:hAnsi="宋体"/>
                <w:b w:val="0"/>
                <w:bCs w:val="0"/>
                <w:color w:val="000000"/>
                <w:szCs w:val="21"/>
                <w:lang w:eastAsia="zh-CN"/>
              </w:rPr>
              <w:t>大班场地</w:t>
            </w:r>
          </w:p>
          <w:p>
            <w:pPr>
              <w:autoSpaceDN w:val="0"/>
              <w:spacing w:line="331" w:lineRule="auto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观察时间：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 xml:space="preserve"> 2022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18日</w:t>
            </w:r>
          </w:p>
          <w:p>
            <w:pPr>
              <w:autoSpaceDN w:val="0"/>
              <w:spacing w:line="331" w:lineRule="auto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观察目的：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幼儿在合作游戏中篮球技能的运用</w:t>
            </w:r>
          </w:p>
          <w:p>
            <w:pPr>
              <w:autoSpaceDN w:val="0"/>
              <w:spacing w:line="331" w:lineRule="auto"/>
              <w:jc w:val="both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</w:rPr>
              <w:t>观察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内容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观察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幼儿在玩篮球小游戏时行进间运球和高低运球的技能运用情况。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07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-1905</wp:posOffset>
                      </wp:positionV>
                      <wp:extent cx="952500" cy="351790"/>
                      <wp:effectExtent l="1905" t="4445" r="17145" b="571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67385" y="2794635"/>
                                <a:ext cx="952500" cy="3517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95pt;margin-top:-0.15pt;height:27.7pt;width:75pt;z-index:251659264;mso-width-relative:page;mso-height-relative:page;" filled="f" stroked="t" coordsize="21600,21600" o:gfxdata="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EPezdcAAAAIAQAADwAAAAAAAAABACAAAAAiAAAAZHJzL2Rvd25yZXYueG1sUEsBAhQA&#10;FAAAAAgAh07iQBHu1/jzAQAAwAMAAA4AAAAAAAAAAQAgAAAAJgEAAGRycy9lMm9Eb2MueG1sUEsF&#10;BgAAAAAGAAYAWQEAAIs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428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左手行进间运球</w:t>
            </w:r>
          </w:p>
        </w:tc>
        <w:tc>
          <w:tcPr>
            <w:tcW w:w="1661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右手行进间运球</w:t>
            </w:r>
          </w:p>
        </w:tc>
        <w:tc>
          <w:tcPr>
            <w:tcW w:w="1929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左右手变换运球</w:t>
            </w:r>
          </w:p>
        </w:tc>
        <w:tc>
          <w:tcPr>
            <w:tcW w:w="2325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高低运球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507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谢轩宇</w:t>
            </w:r>
          </w:p>
        </w:tc>
        <w:tc>
          <w:tcPr>
            <w:tcW w:w="2428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eastAsia" w:ascii="宋体" w:hAnsi="宋体" w:eastAsia="宋体" w:cs="宋体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t>√</w:t>
            </w:r>
          </w:p>
        </w:tc>
        <w:tc>
          <w:tcPr>
            <w:tcW w:w="1661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t>√</w:t>
            </w:r>
          </w:p>
        </w:tc>
        <w:tc>
          <w:tcPr>
            <w:tcW w:w="1929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/>
                <w:lang w:val="en-US" w:eastAsia="zh-CN"/>
              </w:rPr>
            </w:pPr>
          </w:p>
        </w:tc>
        <w:tc>
          <w:tcPr>
            <w:tcW w:w="2325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507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顾乐彤</w:t>
            </w:r>
          </w:p>
        </w:tc>
        <w:tc>
          <w:tcPr>
            <w:tcW w:w="2428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t>√</w:t>
            </w:r>
          </w:p>
        </w:tc>
        <w:tc>
          <w:tcPr>
            <w:tcW w:w="1661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t>√</w:t>
            </w:r>
          </w:p>
        </w:tc>
        <w:tc>
          <w:tcPr>
            <w:tcW w:w="1929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t>√</w:t>
            </w:r>
          </w:p>
        </w:tc>
        <w:tc>
          <w:tcPr>
            <w:tcW w:w="2325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507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</w:p>
        </w:tc>
        <w:tc>
          <w:tcPr>
            <w:tcW w:w="2428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顾乐彤</w:t>
            </w:r>
          </w:p>
        </w:tc>
        <w:tc>
          <w:tcPr>
            <w:tcW w:w="2804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谢轩宇</w:t>
            </w:r>
          </w:p>
        </w:tc>
        <w:tc>
          <w:tcPr>
            <w:tcW w:w="3111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eastAsia" w:ascii="Arial" w:hAnsi="Arial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过程性照片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1507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前进路段</w:t>
            </w:r>
          </w:p>
        </w:tc>
        <w:tc>
          <w:tcPr>
            <w:tcW w:w="2428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出发时，G刚想蹲下拿砖块，X已经蹲下将砖块拿起。</w:t>
            </w:r>
          </w:p>
          <w:p>
            <w:pPr>
              <w:autoSpaceDN w:val="0"/>
              <w:spacing w:line="331" w:lineRule="auto"/>
              <w:rPr>
                <w:rFonts w:hint="default" w:ascii="Arial" w:hAnsi="Arial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于是G左手拿砖块，眼睛盯着球，右手连续运球往前走，在走了五六步后，G抬头看向左前方X，又看了看终点，继续低头看球，中间没有出现掉球情况。</w:t>
            </w:r>
          </w:p>
        </w:tc>
        <w:tc>
          <w:tcPr>
            <w:tcW w:w="2804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出发时，X左手运球蹲下，右手拿起地上的砖块站起，他边运球边看向身边的G，在G触碰到砖块后，他开始运球往前走，再出发以后，X眼睛就盯着终点，全程领先G，没有出现掉球情况。</w:t>
            </w:r>
          </w:p>
        </w:tc>
        <w:tc>
          <w:tcPr>
            <w:tcW w:w="3111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  <w:drawing>
                <wp:inline distT="0" distB="0" distL="114300" distR="114300">
                  <wp:extent cx="1284605" cy="963295"/>
                  <wp:effectExtent l="0" t="0" r="10795" b="8255"/>
                  <wp:docPr id="2" name="图片 2" descr="1D910AA843DFFFECEEA48A0CD0E1DE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D910AA843DFFFECEEA48A0CD0E1DE7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605" cy="963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  <w:drawing>
                <wp:inline distT="0" distB="0" distL="114300" distR="114300">
                  <wp:extent cx="1256665" cy="942975"/>
                  <wp:effectExtent l="0" t="0" r="635" b="9525"/>
                  <wp:docPr id="3" name="图片 3" descr="13F2BA3B7A8D44E1219F1EA9FF649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3F2BA3B7A8D44E1219F1EA9FF6497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1507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终点掉头路段</w:t>
            </w:r>
          </w:p>
        </w:tc>
        <w:tc>
          <w:tcPr>
            <w:tcW w:w="2428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在快要到达终点时，G先是身体向右转，在X掉球后，G身体向左转，右手运球，左手拿着砖块，转身后面向起点，开始运球返回。</w:t>
            </w:r>
          </w:p>
        </w:tc>
        <w:tc>
          <w:tcPr>
            <w:tcW w:w="2804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在G向右转身时，X右手依然抓着砖块，身体被拉向右边，左手没有够到篮球，出现掉球现象。拿起球后，左手拿砖块，右手运球，往前走。</w:t>
            </w:r>
          </w:p>
        </w:tc>
        <w:tc>
          <w:tcPr>
            <w:tcW w:w="3111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  <w:drawing>
                <wp:inline distT="0" distB="0" distL="114300" distR="114300">
                  <wp:extent cx="1320165" cy="989330"/>
                  <wp:effectExtent l="0" t="0" r="13335" b="1270"/>
                  <wp:docPr id="4" name="图片 4" descr="7100AEAEFD8C7B3390F85E5820303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7100AEAEFD8C7B3390F85E582030389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165" cy="989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  <w:drawing>
                <wp:inline distT="0" distB="0" distL="114300" distR="114300">
                  <wp:extent cx="1268730" cy="950595"/>
                  <wp:effectExtent l="0" t="0" r="7620" b="1905"/>
                  <wp:docPr id="5" name="图片 5" descr="B304F4B31E698DA40362697B58464A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B304F4B31E698DA40362697B58464AA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95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1507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返回路段</w:t>
            </w:r>
          </w:p>
        </w:tc>
        <w:tc>
          <w:tcPr>
            <w:tcW w:w="2428" w:type="dxa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G右手运球时，右手运球，左手拿砖块横着往前走，在走了几步后，X砖块掉了，于是，G在运球时，将砖块放到了右手，左手迅速拍了几下球，保持运球节奏后，她将砖块递向了右边的X。</w:t>
            </w:r>
          </w:p>
        </w:tc>
        <w:tc>
          <w:tcPr>
            <w:tcW w:w="2804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eastAsia" w:ascii="Arial" w:hAnsi="Arial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X右手运球，左手拿砖块，走了三步后，出现掉球现象，他放开砖块，双手拿起篮球，重新开始运球。</w:t>
            </w:r>
          </w:p>
          <w:p>
            <w:pPr>
              <w:autoSpaceDN w:val="0"/>
              <w:spacing w:line="331" w:lineRule="auto"/>
              <w:rPr>
                <w:rFonts w:hint="default" w:ascii="Arial" w:hAnsi="Arial" w:cs="Arial"/>
                <w:b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他看了看左边的G，左手拿起递过来的砖块，开始向起点走去。</w:t>
            </w:r>
          </w:p>
        </w:tc>
        <w:tc>
          <w:tcPr>
            <w:tcW w:w="3111" w:type="dxa"/>
            <w:gridSpan w:val="2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default" w:ascii="Arial" w:hAnsi="Arial" w:eastAsia="宋体" w:cs="Arial"/>
                <w:b/>
                <w:lang w:val="en-US" w:eastAsia="zh-CN"/>
              </w:rPr>
            </w:pPr>
            <w:r>
              <w:rPr>
                <w:rFonts w:hint="default" w:ascii="Arial" w:hAnsi="Arial" w:eastAsia="宋体" w:cs="Arial"/>
                <w:b/>
                <w:lang w:val="en-US" w:eastAsia="zh-CN"/>
              </w:rPr>
              <w:drawing>
                <wp:inline distT="0" distB="0" distL="114300" distR="114300">
                  <wp:extent cx="1502410" cy="1125855"/>
                  <wp:effectExtent l="0" t="0" r="2540" b="17145"/>
                  <wp:docPr id="6" name="图片 6" descr="AF757C831C821091884954C9ACF3DF8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AF757C831C821091884954C9ACF3DF8E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10" cy="112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9850" w:type="dxa"/>
            <w:gridSpan w:val="6"/>
            <w:tcBorders/>
            <w:noWrap w:val="0"/>
            <w:vAlign w:val="top"/>
          </w:tcPr>
          <w:p>
            <w:pPr>
              <w:autoSpaceDN w:val="0"/>
              <w:spacing w:line="331" w:lineRule="auto"/>
              <w:rPr>
                <w:rFonts w:hint="eastAsia" w:ascii="Arial" w:hAnsi="Arial" w:cs="Arial"/>
                <w:b/>
                <w:lang w:val="en-US" w:eastAsia="zh-CN"/>
              </w:rPr>
            </w:pPr>
            <w:r>
              <w:rPr>
                <w:rFonts w:hint="eastAsia" w:ascii="Arial" w:hAnsi="Arial" w:cs="Arial"/>
                <w:b/>
                <w:lang w:val="en-US" w:eastAsia="zh-CN"/>
              </w:rPr>
              <w:t>案例分析：</w:t>
            </w:r>
          </w:p>
          <w:p>
            <w:pPr>
              <w:autoSpaceDN w:val="0"/>
              <w:spacing w:line="331" w:lineRule="auto"/>
              <w:rPr>
                <w:rFonts w:hint="default" w:ascii="Arial" w:hAnsi="Arial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从上面的观察中，可以看出X和G行进间运球还是比较熟练的，左右手行进间的过程中，没有出现掉球现象，而且在运球的过程中，节奏能保持相对固定，但是在出现突发情况如：合作掉头时，没能做到及时调换左右手运球，导致出现横着走的情况，但是在自己独自运球时，能在不掉球的情况下调换左右手的砖块和篮球。</w:t>
            </w:r>
          </w:p>
          <w:p>
            <w:pPr>
              <w:autoSpaceDN w:val="0"/>
              <w:spacing w:line="331" w:lineRule="auto"/>
              <w:rPr>
                <w:rFonts w:hint="eastAsia" w:ascii="Arial" w:hAnsi="Arial" w:cs="Arial"/>
                <w:b/>
                <w:lang w:val="en-US" w:eastAsia="zh-CN"/>
              </w:rPr>
            </w:pPr>
            <w:r>
              <w:rPr>
                <w:rFonts w:hint="eastAsia" w:ascii="Arial" w:hAnsi="Arial" w:cs="Arial"/>
                <w:b/>
                <w:lang w:val="en-US" w:eastAsia="zh-CN"/>
              </w:rPr>
              <w:t>支持跟进策略：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Arial" w:hAnsi="Arial" w:cs="Arial"/>
                <w:b w:val="0"/>
                <w:bCs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lang w:val="en-US" w:eastAsia="zh-CN"/>
              </w:rPr>
              <w:t>平时在幼儿练习行进间运球时，可以给幼儿创设一定的障碍，如：绕障碍物。锻炼幼儿对篮球的控球能力。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培养幼儿的团队合作精神。</w:t>
            </w:r>
            <w:bookmarkStart w:id="0" w:name="_GoBack"/>
            <w:bookmarkEnd w:id="0"/>
          </w:p>
          <w:p>
            <w:pPr>
              <w:autoSpaceDN w:val="0"/>
              <w:spacing w:line="331" w:lineRule="auto"/>
              <w:rPr>
                <w:rFonts w:hint="default" w:ascii="Arial" w:hAnsi="Arial" w:cs="Arial"/>
                <w:b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AE2334"/>
    <w:multiLevelType w:val="singleLevel"/>
    <w:tmpl w:val="EDAE23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ZmY5NThlZmIwZDhmMDI0NjUwZDc2NzRhNmIxODQifQ=="/>
  </w:docVars>
  <w:rsids>
    <w:rsidRoot w:val="70CF528B"/>
    <w:rsid w:val="44CF1FBE"/>
    <w:rsid w:val="537F5429"/>
    <w:rsid w:val="70C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1132</Words>
  <Characters>1148</Characters>
  <Lines>0</Lines>
  <Paragraphs>0</Paragraphs>
  <TotalTime>2</TotalTime>
  <ScaleCrop>false</ScaleCrop>
  <LinksUpToDate>false</LinksUpToDate>
  <CharactersWithSpaces>1162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2022-09-20T21:15:00Z</dcterms:created>
  <dc:creator>Lunatic</dc:creator>
  <cp:lastModifiedBy>昕轶</cp:lastModifiedBy>
  <dcterms:modified xsi:type="dcterms:W3CDTF">2022-11-21T11:28:43Z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7E620D06F5ED4163ACB279B260E5D499</vt:lpwstr>
  </property>
</Properties>
</file>