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 w:cs="Times New Roman"/>
          <w:sz w:val="36"/>
          <w:szCs w:val="36"/>
        </w:rPr>
        <w:t>2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sz w:val="36"/>
          <w:szCs w:val="36"/>
        </w:rPr>
        <w:t>年度部门决算分析报告撰写提纲</w:t>
      </w:r>
    </w:p>
    <w:p>
      <w:pPr>
        <w:snapToGrid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（基层单位版）</w:t>
      </w:r>
    </w:p>
    <w:p>
      <w:pPr>
        <w:snapToGrid w:val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0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常州市明德实验中学是常州市北郊初级中学教育集团成员，因而学校也被称为北郊初中分校。北郊初中分校秉承“办有灵魂的理解教育 育全人格的未来公民”的办学使命，确立“立德固本 和爱润心 知行一体 实践创生”的办学理念，致力于培养“懂情理 明事理 求真理”的学生。传承北郊特色，创建自身品牌。特有的走班制教学模式，更是可以满足学生个性化学习需求，培养具有创新能力的顶尖人才。</w:t>
      </w:r>
    </w:p>
    <w:p>
      <w:pPr>
        <w:spacing w:line="360" w:lineRule="auto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北郊初中分校坐落于钟楼区玫瑰路东侧、松涛路南侧地块，用地面积33380平方米，建筑面积38885.8平方米，总投资约1.35亿，按36个班进行建设。建筑主要功能区包括教学楼、实验楼、办公楼、图书馆、体育馆、食堂、门卫、地下停车场等，每个建筑体与共享空间浑然一体，构成教育的综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在市区各级政府的关心支持下，</w:t>
      </w:r>
      <w:r>
        <w:fldChar w:fldCharType="begin"/>
      </w:r>
      <w:r>
        <w:instrText xml:space="preserve"> HYPERLINK "http://baike.baidu.com/view/409700.htm" </w:instrText>
      </w:r>
      <w:r>
        <w:fldChar w:fldCharType="separate"/>
      </w:r>
      <w:r>
        <w:rPr>
          <w:rFonts w:hint="eastAsia" w:ascii="仿宋_GB2312"/>
          <w:sz w:val="28"/>
          <w:szCs w:val="28"/>
        </w:rPr>
        <w:t>北郊初中分校</w:t>
      </w:r>
      <w:r>
        <w:rPr>
          <w:rFonts w:hint="eastAsia" w:ascii="仿宋_GB2312"/>
          <w:sz w:val="28"/>
          <w:szCs w:val="28"/>
        </w:rPr>
        <w:fldChar w:fldCharType="end"/>
      </w:r>
      <w:r>
        <w:rPr>
          <w:rFonts w:hint="eastAsia" w:ascii="仿宋_GB2312"/>
          <w:sz w:val="28"/>
          <w:szCs w:val="28"/>
        </w:rPr>
        <w:t>于2015年9月2</w:t>
      </w:r>
      <w:r>
        <w:rPr>
          <w:rFonts w:hint="eastAsia" w:ascii="仿宋_GB2312"/>
          <w:sz w:val="28"/>
          <w:szCs w:val="28"/>
        </w:rPr>
        <w:t>日破土动工，经过一年多的建设，于2017年5月18日顺利完成竣工</w:t>
      </w:r>
      <w:r>
        <w:rPr>
          <w:rFonts w:hint="eastAsia" w:ascii="仿宋_GB2312"/>
          <w:sz w:val="28"/>
          <w:szCs w:val="28"/>
        </w:rPr>
        <w:t>备案，2017年9月投入使用。目前，我校18个班级，学生</w:t>
      </w:r>
      <w:r>
        <w:rPr>
          <w:rFonts w:hint="eastAsia" w:ascii="仿宋_GB2312"/>
          <w:sz w:val="28"/>
          <w:szCs w:val="28"/>
          <w:lang w:val="en-US" w:eastAsia="zh-CN"/>
        </w:rPr>
        <w:t>767</w:t>
      </w:r>
      <w:r>
        <w:rPr>
          <w:rFonts w:hint="eastAsia" w:ascii="仿宋_GB2312"/>
          <w:sz w:val="28"/>
          <w:szCs w:val="28"/>
        </w:rPr>
        <w:t>人，在编在岗教职工</w:t>
      </w:r>
      <w:r>
        <w:rPr>
          <w:rFonts w:hint="eastAsia" w:ascii="仿宋_GB2312"/>
          <w:sz w:val="28"/>
          <w:szCs w:val="28"/>
          <w:lang w:val="en-US" w:eastAsia="zh-CN"/>
        </w:rPr>
        <w:t>68</w:t>
      </w:r>
      <w:r>
        <w:rPr>
          <w:rFonts w:hint="eastAsia" w:ascii="仿宋_GB2312"/>
          <w:sz w:val="28"/>
          <w:szCs w:val="28"/>
        </w:rPr>
        <w:t>人，退休教师1人。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当年取得的主要事业成效。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1" w:name="YS060102"/>
      <w:r>
        <w:rPr>
          <w:rFonts w:hint="eastAsia" w:ascii="黑体" w:hAnsi="黑体" w:eastAsia="黑体"/>
          <w:sz w:val="32"/>
          <w:szCs w:val="32"/>
        </w:rPr>
        <w:t>二、收入支出预算执行情况分析</w:t>
      </w:r>
    </w:p>
    <w:bookmarkEnd w:id="1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snapToGrid w:val="0"/>
        <w:spacing w:line="520" w:lineRule="exact"/>
        <w:ind w:firstLine="560" w:firstLineChars="200"/>
        <w:rPr>
          <w:rFonts w:hint="eastAsia" w:ascii="仿宋_GB2312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</w:rPr>
        <w:t>本年度年初预算为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1686.05</w:t>
      </w:r>
      <w:r>
        <w:rPr>
          <w:rFonts w:hint="eastAsia" w:ascii="仿宋_GB2312"/>
          <w:sz w:val="28"/>
          <w:szCs w:val="28"/>
        </w:rPr>
        <w:t>万元，</w:t>
      </w:r>
      <w:r>
        <w:rPr>
          <w:rFonts w:hint="eastAsia" w:ascii="仿宋_GB2312"/>
          <w:sz w:val="28"/>
          <w:szCs w:val="28"/>
          <w:lang w:val="en-US" w:eastAsia="zh-CN"/>
        </w:rPr>
        <w:t>2021</w:t>
      </w:r>
      <w:r>
        <w:rPr>
          <w:rFonts w:hint="eastAsia" w:ascii="仿宋_GB2312"/>
          <w:sz w:val="28"/>
          <w:szCs w:val="28"/>
        </w:rPr>
        <w:t>年度年初预算为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1484.11</w:t>
      </w:r>
      <w:r>
        <w:rPr>
          <w:rFonts w:hint="eastAsia" w:ascii="仿宋_GB2312"/>
          <w:sz w:val="28"/>
          <w:szCs w:val="28"/>
        </w:rPr>
        <w:t>万元。</w:t>
      </w:r>
      <w:r>
        <w:rPr>
          <w:rFonts w:hint="eastAsia" w:ascii="仿宋_GB2312"/>
          <w:sz w:val="28"/>
          <w:szCs w:val="28"/>
          <w:lang w:val="en-US" w:eastAsia="zh-CN"/>
        </w:rPr>
        <w:t>2022</w:t>
      </w:r>
      <w:r>
        <w:rPr>
          <w:rFonts w:hint="eastAsia" w:ascii="仿宋_GB2312"/>
          <w:sz w:val="28"/>
          <w:szCs w:val="28"/>
        </w:rPr>
        <w:t>年年初预算大于</w:t>
      </w:r>
      <w:r>
        <w:rPr>
          <w:rFonts w:hint="eastAsia" w:ascii="仿宋_GB2312"/>
          <w:sz w:val="28"/>
          <w:szCs w:val="28"/>
          <w:lang w:val="en-US" w:eastAsia="zh-CN"/>
        </w:rPr>
        <w:t>2021</w:t>
      </w:r>
      <w:r>
        <w:rPr>
          <w:rFonts w:hint="eastAsia" w:ascii="仿宋_GB2312"/>
          <w:sz w:val="28"/>
          <w:szCs w:val="28"/>
        </w:rPr>
        <w:t>年年初预算，其主要原因：</w:t>
      </w:r>
      <w:r>
        <w:rPr>
          <w:rFonts w:hint="eastAsia" w:ascii="仿宋_GB2312"/>
          <w:sz w:val="28"/>
          <w:szCs w:val="28"/>
          <w:lang w:eastAsia="zh-CN"/>
        </w:rPr>
        <w:t>教师人数增加</w:t>
      </w:r>
      <w:r>
        <w:rPr>
          <w:rFonts w:hint="eastAsia" w:ascii="仿宋_GB2312"/>
          <w:sz w:val="28"/>
          <w:szCs w:val="28"/>
          <w:lang w:val="en-US" w:eastAsia="zh-CN"/>
        </w:rPr>
        <w:t>3人，</w:t>
      </w:r>
      <w:r>
        <w:rPr>
          <w:rFonts w:hint="eastAsia" w:ascii="仿宋_GB2312"/>
          <w:sz w:val="28"/>
          <w:szCs w:val="28"/>
        </w:rPr>
        <w:t>教师职称晋升，岗位工资、岗位津贴调增，</w:t>
      </w:r>
      <w:r>
        <w:rPr>
          <w:rFonts w:hint="eastAsia" w:ascii="仿宋_GB2312"/>
          <w:sz w:val="28"/>
          <w:szCs w:val="28"/>
          <w:lang w:eastAsia="zh-CN"/>
        </w:rPr>
        <w:t>住房（租房）补贴、新职工租房补贴增加，设备购置等项目支出预算增加。</w:t>
      </w:r>
    </w:p>
    <w:p>
      <w:pPr>
        <w:numPr>
          <w:numId w:val="0"/>
        </w:num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仿宋" w:eastAsia="楷体_GB2312"/>
          <w:b/>
          <w:sz w:val="32"/>
          <w:szCs w:val="32"/>
        </w:rPr>
        <w:t>收入支出预算执行情况。</w:t>
      </w:r>
    </w:p>
    <w:p>
      <w:pPr>
        <w:numPr>
          <w:numId w:val="0"/>
        </w:numPr>
        <w:snapToGrid w:val="0"/>
        <w:spacing w:line="520" w:lineRule="exact"/>
        <w:ind w:leftChars="200" w:firstLine="321" w:firstLine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1．收入支出与预算对比分析。</w:t>
      </w:r>
    </w:p>
    <w:p>
      <w:pPr>
        <w:snapToGrid w:val="0"/>
        <w:spacing w:line="52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本年度收入年初预算为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2010.07</w:t>
      </w:r>
      <w:r>
        <w:rPr>
          <w:rFonts w:hint="eastAsia" w:ascii="仿宋_GB2312"/>
          <w:sz w:val="28"/>
          <w:szCs w:val="28"/>
        </w:rPr>
        <w:t>万元，收入决算为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2015.73</w:t>
      </w:r>
      <w:r>
        <w:rPr>
          <w:rFonts w:hint="eastAsia" w:ascii="仿宋_GB2312"/>
          <w:sz w:val="28"/>
          <w:szCs w:val="28"/>
          <w:lang w:val="en-US" w:eastAsia="zh-CN"/>
        </w:rPr>
        <w:t>万元</w:t>
      </w:r>
      <w:r>
        <w:rPr>
          <w:rFonts w:hint="eastAsia" w:ascii="仿宋_GB2312"/>
          <w:sz w:val="28"/>
          <w:szCs w:val="28"/>
        </w:rPr>
        <w:t>，为年初预算的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100.28</w:t>
      </w:r>
      <w:r>
        <w:rPr>
          <w:rFonts w:hint="eastAsia" w:ascii="仿宋_GB2312"/>
          <w:sz w:val="28"/>
          <w:szCs w:val="28"/>
          <w:u w:val="single"/>
        </w:rPr>
        <w:t>%</w:t>
      </w:r>
      <w:r>
        <w:rPr>
          <w:rFonts w:hint="eastAsia" w:ascii="仿宋_GB2312"/>
          <w:sz w:val="28"/>
          <w:szCs w:val="28"/>
        </w:rPr>
        <w:t>；</w:t>
      </w:r>
    </w:p>
    <w:p>
      <w:pPr>
        <w:snapToGrid w:val="0"/>
        <w:spacing w:line="520" w:lineRule="exact"/>
        <w:ind w:firstLine="560" w:firstLineChars="200"/>
        <w:rPr>
          <w:rFonts w:hint="eastAsia" w:ascii="仿宋_GB2312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</w:rPr>
        <w:t>本年度支出年初预算为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2010.07</w:t>
      </w:r>
      <w:r>
        <w:rPr>
          <w:rFonts w:hint="eastAsia" w:ascii="仿宋_GB2312"/>
          <w:sz w:val="28"/>
          <w:szCs w:val="28"/>
        </w:rPr>
        <w:t>万元，支出决算为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2008.92</w:t>
      </w:r>
      <w:r>
        <w:rPr>
          <w:rFonts w:hint="eastAsia" w:ascii="仿宋_GB2312"/>
          <w:sz w:val="28"/>
          <w:szCs w:val="28"/>
        </w:rPr>
        <w:t>万元，完成年初预算的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99.94</w:t>
      </w:r>
      <w:r>
        <w:rPr>
          <w:rFonts w:hint="eastAsia" w:ascii="仿宋_GB2312"/>
          <w:sz w:val="28"/>
          <w:szCs w:val="28"/>
        </w:rPr>
        <w:t>%</w:t>
      </w:r>
      <w:r>
        <w:rPr>
          <w:rFonts w:hint="eastAsia" w:ascii="仿宋_GB2312"/>
          <w:sz w:val="28"/>
          <w:szCs w:val="28"/>
          <w:lang w:eastAsia="zh-CN"/>
        </w:rPr>
        <w:t>，其中：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2050199其他教育管理事务支出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9.51</w:t>
      </w:r>
      <w:r>
        <w:rPr>
          <w:rFonts w:hint="eastAsia" w:ascii="仿宋_GB2312"/>
          <w:sz w:val="28"/>
          <w:szCs w:val="28"/>
        </w:rPr>
        <w:t>万元，主要用于办学经费补助及教职工管煤补贴。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2050203初中教育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1379.05</w:t>
      </w:r>
      <w:r>
        <w:rPr>
          <w:rFonts w:hint="eastAsia" w:ascii="仿宋_GB2312"/>
          <w:sz w:val="28"/>
          <w:szCs w:val="28"/>
        </w:rPr>
        <w:t>万元，主要用于工资福利支出、商品和服务支出及对个人和家庭的补助。与上年相比增加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25.93</w:t>
      </w:r>
      <w:r>
        <w:rPr>
          <w:rFonts w:hint="eastAsia" w:ascii="仿宋_GB2312"/>
          <w:sz w:val="28"/>
          <w:szCs w:val="28"/>
        </w:rPr>
        <w:t>万元，增长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1.92</w:t>
      </w:r>
      <w:r>
        <w:rPr>
          <w:rFonts w:hint="eastAsia" w:ascii="仿宋_GB2312"/>
          <w:sz w:val="28"/>
          <w:szCs w:val="28"/>
        </w:rPr>
        <w:t>%。主要原因：（1）202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</w:rPr>
        <w:t>年我校新增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名教师。</w:t>
      </w:r>
      <w:r>
        <w:rPr>
          <w:rFonts w:hint="eastAsia" w:ascii="仿宋_GB2312"/>
          <w:sz w:val="28"/>
          <w:szCs w:val="28"/>
          <w:lang w:eastAsia="zh-CN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2</w:t>
      </w:r>
      <w:r>
        <w:rPr>
          <w:rFonts w:hint="eastAsia" w:ascii="仿宋_GB2312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2050801教师进修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4.3</w:t>
      </w:r>
      <w:r>
        <w:rPr>
          <w:rFonts w:hint="eastAsia" w:ascii="仿宋_GB2312"/>
          <w:sz w:val="28"/>
          <w:szCs w:val="28"/>
        </w:rPr>
        <w:t>万元，主要用于工资福利支出—绩效工资。与上年相比增加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0.5</w:t>
      </w:r>
      <w:r>
        <w:rPr>
          <w:rFonts w:hint="eastAsia" w:ascii="仿宋_GB2312"/>
          <w:sz w:val="28"/>
          <w:szCs w:val="28"/>
        </w:rPr>
        <w:t>万元。主要用于支付</w:t>
      </w:r>
      <w:r>
        <w:rPr>
          <w:rFonts w:hint="eastAsia" w:ascii="仿宋_GB2312"/>
          <w:sz w:val="28"/>
          <w:szCs w:val="28"/>
          <w:lang w:eastAsia="zh-CN"/>
        </w:rPr>
        <w:t>戴界蕾、黄静、刘霞</w:t>
      </w:r>
      <w:r>
        <w:rPr>
          <w:rFonts w:hint="eastAsia" w:ascii="仿宋_GB2312"/>
          <w:sz w:val="28"/>
          <w:szCs w:val="28"/>
          <w:lang w:val="en-US" w:eastAsia="zh-CN"/>
        </w:rPr>
        <w:t>2021年优秀教育人才贡献奖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2050904城市中小学教学设施</w:t>
      </w:r>
      <w:r>
        <w:rPr>
          <w:rFonts w:hint="eastAsia" w:ascii="仿宋_GB2312"/>
          <w:sz w:val="28"/>
          <w:szCs w:val="28"/>
        </w:rPr>
        <w:t>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45.2</w:t>
      </w:r>
      <w:r>
        <w:rPr>
          <w:rFonts w:hint="eastAsia" w:ascii="仿宋_GB2312"/>
          <w:sz w:val="28"/>
          <w:szCs w:val="28"/>
        </w:rPr>
        <w:t>万元，主要用于资本性支出—办公设备、专用设备购置。与上年相比增加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16.33</w:t>
      </w:r>
      <w:r>
        <w:rPr>
          <w:rFonts w:hint="eastAsia" w:ascii="仿宋_GB2312"/>
          <w:sz w:val="28"/>
          <w:szCs w:val="28"/>
        </w:rPr>
        <w:t>万元。主要</w:t>
      </w:r>
      <w:r>
        <w:rPr>
          <w:rFonts w:hint="eastAsia" w:ascii="仿宋_GB2312"/>
          <w:sz w:val="28"/>
          <w:szCs w:val="28"/>
          <w:lang w:eastAsia="zh-CN"/>
        </w:rPr>
        <w:t>原因为教学设备采购需求增加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2050999其他教育费附加安排的支出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159.77</w:t>
      </w:r>
      <w:r>
        <w:rPr>
          <w:rFonts w:hint="eastAsia" w:ascii="仿宋_GB2312"/>
          <w:sz w:val="28"/>
          <w:szCs w:val="28"/>
        </w:rPr>
        <w:t>万元，主要用于商品和服务支出及资本性支出。与上年相比增加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61.28</w:t>
      </w:r>
      <w:r>
        <w:rPr>
          <w:rFonts w:hint="eastAsia" w:ascii="仿宋_GB2312"/>
          <w:sz w:val="28"/>
          <w:szCs w:val="28"/>
        </w:rPr>
        <w:t>万元。主要原因</w:t>
      </w:r>
      <w:r>
        <w:rPr>
          <w:rFonts w:hint="eastAsia" w:ascii="仿宋_GB2312"/>
          <w:sz w:val="28"/>
          <w:szCs w:val="28"/>
          <w:lang w:eastAsia="zh-CN"/>
        </w:rPr>
        <w:t>为本年度教师队伍建设及防疫物资需求增加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2059999其他教育支出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18.68</w:t>
      </w:r>
      <w:r>
        <w:rPr>
          <w:rFonts w:hint="eastAsia" w:ascii="仿宋_GB2312"/>
          <w:sz w:val="28"/>
          <w:szCs w:val="28"/>
        </w:rPr>
        <w:t>万元，主要来源为食堂经费补助，主要支出用于商品和服务支出。与上年相比</w:t>
      </w:r>
      <w:r>
        <w:rPr>
          <w:rFonts w:hint="eastAsia" w:ascii="仿宋_GB2312"/>
          <w:sz w:val="28"/>
          <w:szCs w:val="28"/>
          <w:lang w:eastAsia="zh-CN"/>
        </w:rPr>
        <w:t>减少</w:t>
      </w:r>
      <w:r>
        <w:rPr>
          <w:rFonts w:hint="eastAsia" w:ascii="仿宋_GB2312"/>
          <w:sz w:val="28"/>
          <w:szCs w:val="28"/>
          <w:u w:val="single"/>
        </w:rPr>
        <w:t>1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.35</w:t>
      </w:r>
      <w:r>
        <w:rPr>
          <w:rFonts w:hint="eastAsia" w:ascii="仿宋_GB2312"/>
          <w:sz w:val="28"/>
          <w:szCs w:val="28"/>
        </w:rPr>
        <w:t>万元。主要原因</w:t>
      </w:r>
      <w:r>
        <w:rPr>
          <w:rFonts w:hint="eastAsia" w:ascii="仿宋_GB2312"/>
          <w:sz w:val="28"/>
          <w:szCs w:val="28"/>
          <w:lang w:eastAsia="zh-CN"/>
        </w:rPr>
        <w:t>为疫情导致的教学耗材需求减少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2210201住房公积金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116.67</w:t>
      </w:r>
      <w:r>
        <w:rPr>
          <w:rFonts w:hint="eastAsia" w:ascii="仿宋_GB2312"/>
          <w:sz w:val="28"/>
          <w:szCs w:val="28"/>
        </w:rPr>
        <w:t>万元，主要用于工资福利支出—住房公积金。与上年相比</w:t>
      </w:r>
      <w:r>
        <w:rPr>
          <w:rFonts w:hint="eastAsia" w:ascii="仿宋_GB2312"/>
          <w:sz w:val="28"/>
          <w:szCs w:val="28"/>
          <w:lang w:eastAsia="zh-CN"/>
        </w:rPr>
        <w:t>减少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4.91</w:t>
      </w:r>
      <w:r>
        <w:rPr>
          <w:rFonts w:hint="eastAsia" w:ascii="仿宋_GB2312"/>
          <w:sz w:val="28"/>
          <w:szCs w:val="28"/>
        </w:rPr>
        <w:t>万元，</w:t>
      </w:r>
      <w:r>
        <w:rPr>
          <w:rFonts w:hint="eastAsia" w:ascii="仿宋_GB2312"/>
          <w:sz w:val="28"/>
          <w:szCs w:val="28"/>
          <w:lang w:eastAsia="zh-CN"/>
        </w:rPr>
        <w:t>减少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4.04</w:t>
      </w:r>
      <w:r>
        <w:rPr>
          <w:rFonts w:hint="eastAsia" w:ascii="仿宋_GB2312"/>
          <w:sz w:val="28"/>
          <w:szCs w:val="28"/>
        </w:rPr>
        <w:t>%。主要原因为</w:t>
      </w:r>
      <w:r>
        <w:rPr>
          <w:rFonts w:hint="eastAsia" w:ascii="仿宋_GB2312"/>
          <w:sz w:val="28"/>
          <w:szCs w:val="28"/>
          <w:lang w:eastAsia="zh-CN"/>
        </w:rPr>
        <w:t>教师离职、退休导致的住房公积金存缴基数降低</w:t>
      </w:r>
      <w:r>
        <w:rPr>
          <w:rFonts w:hint="eastAsia" w:ascii="仿宋_GB2312"/>
          <w:sz w:val="28"/>
          <w:szCs w:val="28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>2210202 提租补贴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</w:rPr>
        <w:t>27.04</w:t>
      </w:r>
      <w:r>
        <w:rPr>
          <w:rFonts w:hint="eastAsia" w:ascii="仿宋_GB2312"/>
          <w:sz w:val="28"/>
          <w:szCs w:val="28"/>
        </w:rPr>
        <w:t>万元，主要用于工资福利支出—津贴补贴。与上年相比</w:t>
      </w:r>
      <w:r>
        <w:rPr>
          <w:rFonts w:hint="eastAsia" w:ascii="仿宋_GB2312"/>
          <w:sz w:val="28"/>
          <w:szCs w:val="28"/>
          <w:lang w:eastAsia="zh-CN"/>
        </w:rPr>
        <w:t>没有增减变化</w:t>
      </w:r>
      <w:r>
        <w:rPr>
          <w:rFonts w:hint="eastAsia" w:ascii="仿宋_GB2312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  <w:u w:val="single"/>
        </w:rPr>
        <w:t>2210203购房补贴</w:t>
      </w:r>
      <w:r>
        <w:rPr>
          <w:rFonts w:hint="eastAsia" w:ascii="仿宋_GB2312"/>
          <w:sz w:val="28"/>
          <w:szCs w:val="28"/>
        </w:rPr>
        <w:t>（类）支出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225.68</w:t>
      </w:r>
      <w:r>
        <w:rPr>
          <w:rFonts w:hint="eastAsia" w:ascii="仿宋_GB2312"/>
          <w:sz w:val="28"/>
          <w:szCs w:val="28"/>
        </w:rPr>
        <w:t>万元，主要用于工资福利支出—津贴补贴。与上年相比</w:t>
      </w:r>
      <w:r>
        <w:rPr>
          <w:rFonts w:hint="eastAsia" w:ascii="仿宋_GB2312"/>
          <w:sz w:val="28"/>
          <w:szCs w:val="28"/>
          <w:lang w:eastAsia="zh-CN"/>
        </w:rPr>
        <w:t>减少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6.11</w:t>
      </w:r>
      <w:r>
        <w:rPr>
          <w:rFonts w:hint="eastAsia" w:ascii="仿宋_GB2312"/>
          <w:sz w:val="28"/>
          <w:szCs w:val="28"/>
        </w:rPr>
        <w:t>万元，</w:t>
      </w:r>
      <w:r>
        <w:rPr>
          <w:rFonts w:hint="eastAsia" w:ascii="仿宋_GB2312"/>
          <w:sz w:val="28"/>
          <w:szCs w:val="28"/>
          <w:lang w:eastAsia="zh-CN"/>
        </w:rPr>
        <w:t>减少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2.64</w:t>
      </w:r>
      <w:r>
        <w:rPr>
          <w:rFonts w:hint="eastAsia" w:ascii="仿宋_GB2312"/>
          <w:sz w:val="28"/>
          <w:szCs w:val="28"/>
        </w:rPr>
        <w:t>%。主要原</w:t>
      </w: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教师</w:t>
      </w:r>
      <w:r>
        <w:rPr>
          <w:rFonts w:hint="eastAsia" w:ascii="宋体" w:hAnsi="宋体" w:cs="宋体"/>
          <w:sz w:val="28"/>
          <w:szCs w:val="28"/>
          <w:lang w:eastAsia="zh-CN"/>
        </w:rPr>
        <w:t>离职、</w:t>
      </w:r>
      <w:r>
        <w:rPr>
          <w:rFonts w:hint="eastAsia" w:ascii="宋体" w:hAnsi="宋体" w:eastAsia="宋体" w:cs="宋体"/>
          <w:sz w:val="28"/>
          <w:szCs w:val="28"/>
        </w:rPr>
        <w:t>退休</w:t>
      </w:r>
      <w:r>
        <w:rPr>
          <w:rFonts w:hint="eastAsia" w:ascii="宋体" w:hAnsi="宋体" w:cs="宋体"/>
          <w:sz w:val="28"/>
          <w:szCs w:val="28"/>
          <w:lang w:eastAsia="zh-CN"/>
        </w:rPr>
        <w:t>导致的购房补贴减少</w:t>
      </w:r>
    </w:p>
    <w:p>
      <w:pPr>
        <w:snapToGrid w:val="0"/>
        <w:spacing w:line="52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2．收入支出结构分析。</w:t>
      </w:r>
    </w:p>
    <w:p>
      <w:pPr>
        <w:snapToGrid w:val="0"/>
        <w:spacing w:line="520" w:lineRule="exact"/>
        <w:ind w:firstLine="560" w:firstLineChars="200"/>
        <w:rPr>
          <w:rFonts w:hint="eastAsia" w:ascii="仿宋_GB2312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</w:rPr>
        <w:t>（1）本年收入合计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2015.73</w:t>
      </w:r>
      <w:r>
        <w:rPr>
          <w:rFonts w:hint="eastAsia" w:ascii="仿宋_GB2312"/>
          <w:sz w:val="28"/>
          <w:szCs w:val="28"/>
        </w:rPr>
        <w:t>万元，其中：财政拨款收入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2010.07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99.72</w:t>
      </w:r>
      <w:r>
        <w:rPr>
          <w:rFonts w:hint="eastAsia" w:ascii="仿宋_GB2312"/>
          <w:sz w:val="28"/>
          <w:szCs w:val="28"/>
        </w:rPr>
        <w:t>%；上级补助收入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%；事业收入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0.25</w:t>
      </w:r>
      <w:r>
        <w:rPr>
          <w:rFonts w:hint="eastAsia" w:ascii="仿宋_GB2312"/>
          <w:sz w:val="28"/>
          <w:szCs w:val="28"/>
        </w:rPr>
        <w:t>%；经营收入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%；附属单位上缴收入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%；其他收入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0.66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0.03</w:t>
      </w:r>
      <w:r>
        <w:rPr>
          <w:rFonts w:hint="eastAsia" w:ascii="仿宋_GB2312"/>
          <w:sz w:val="28"/>
          <w:szCs w:val="28"/>
        </w:rPr>
        <w:t>%。。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hint="default" w:ascii="楷体_GB2312" w:hAnsi="仿宋" w:eastAsia="楷体_GB2312"/>
          <w:b/>
          <w:sz w:val="32"/>
          <w:szCs w:val="32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仿宋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仿宋_GB2312"/>
          <w:sz w:val="28"/>
          <w:szCs w:val="28"/>
        </w:rPr>
        <w:t>年支出合计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2008.92</w:t>
      </w:r>
      <w:r>
        <w:rPr>
          <w:rFonts w:hint="eastAsia" w:ascii="仿宋_GB2312"/>
          <w:sz w:val="28"/>
          <w:szCs w:val="28"/>
        </w:rPr>
        <w:t>万元，其中：基本支出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1702.09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84.73</w:t>
      </w:r>
      <w:r>
        <w:rPr>
          <w:rFonts w:hint="eastAsia" w:ascii="仿宋_GB2312"/>
          <w:sz w:val="28"/>
          <w:szCs w:val="28"/>
        </w:rPr>
        <w:t>%；项目支出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306.83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>15.27</w:t>
      </w:r>
      <w:r>
        <w:rPr>
          <w:rFonts w:hint="eastAsia" w:ascii="仿宋_GB2312"/>
          <w:sz w:val="28"/>
          <w:szCs w:val="28"/>
        </w:rPr>
        <w:t>%；经营支出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%；对附属单位补助支出</w:t>
      </w:r>
      <w:r>
        <w:rPr>
          <w:rFonts w:hint="eastAsia" w:ascii="仿宋_GB2312"/>
          <w:sz w:val="28"/>
          <w:szCs w:val="28"/>
          <w:u w:val="single"/>
        </w:rPr>
        <w:t xml:space="preserve"> 0</w:t>
      </w:r>
      <w:r>
        <w:rPr>
          <w:rFonts w:hint="eastAsia" w:ascii="仿宋_GB2312"/>
          <w:sz w:val="28"/>
          <w:szCs w:val="28"/>
        </w:rPr>
        <w:t>万元，占</w:t>
      </w:r>
      <w:r>
        <w:rPr>
          <w:rFonts w:hint="eastAsia" w:ascii="仿宋_GB2312"/>
          <w:sz w:val="28"/>
          <w:szCs w:val="28"/>
          <w:u w:val="single"/>
        </w:rPr>
        <w:t xml:space="preserve"> 0 </w:t>
      </w:r>
      <w:r>
        <w:rPr>
          <w:rFonts w:hint="eastAsia" w:ascii="仿宋_GB2312"/>
          <w:sz w:val="28"/>
          <w:szCs w:val="28"/>
        </w:rPr>
        <w:t>%。</w:t>
      </w:r>
      <w:r>
        <w:rPr>
          <w:rFonts w:hint="eastAsia" w:ascii="楷体_GB2312" w:hAnsi="仿宋" w:eastAsia="宋体"/>
          <w:b/>
          <w:sz w:val="32"/>
          <w:szCs w:val="32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napToGrid w:val="0"/>
        <w:spacing w:line="52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3．支出按经济分类科目分析。</w:t>
      </w:r>
    </w:p>
    <w:p>
      <w:pPr>
        <w:spacing w:line="48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（1）“三公”经费支出情况：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仅涉及国内公务接待支出0.</w:t>
      </w:r>
      <w:r>
        <w:rPr>
          <w:rFonts w:hint="eastAsia" w:ascii="仿宋_GB2312"/>
          <w:sz w:val="28"/>
          <w:szCs w:val="28"/>
          <w:lang w:val="en-US" w:eastAsia="zh-CN"/>
        </w:rPr>
        <w:t>46</w:t>
      </w:r>
      <w:r>
        <w:rPr>
          <w:rFonts w:hint="eastAsia" w:ascii="仿宋_GB2312"/>
          <w:sz w:val="28"/>
          <w:szCs w:val="28"/>
        </w:rPr>
        <w:t>万元，</w:t>
      </w:r>
      <w:r>
        <w:rPr>
          <w:rFonts w:hint="eastAsia" w:ascii="仿宋_GB2312"/>
          <w:sz w:val="28"/>
          <w:szCs w:val="28"/>
          <w:lang w:eastAsia="zh-CN"/>
        </w:rPr>
        <w:t>与上年相比增加</w:t>
      </w:r>
      <w:r>
        <w:rPr>
          <w:rFonts w:hint="eastAsia" w:ascii="仿宋_GB2312"/>
          <w:sz w:val="28"/>
          <w:szCs w:val="28"/>
          <w:lang w:val="en-US" w:eastAsia="zh-CN"/>
        </w:rPr>
        <w:t>0.19万元，增加70.37%</w:t>
      </w:r>
      <w:r>
        <w:rPr>
          <w:rFonts w:hint="eastAsia" w:ascii="仿宋_GB2312"/>
          <w:sz w:val="28"/>
          <w:szCs w:val="28"/>
          <w:lang w:eastAsia="zh-CN"/>
        </w:rPr>
        <w:t>。</w:t>
      </w:r>
      <w:r>
        <w:rPr>
          <w:rFonts w:hint="eastAsia" w:ascii="仿宋_GB2312"/>
          <w:sz w:val="28"/>
          <w:szCs w:val="28"/>
        </w:rPr>
        <w:t>本年迎接新优质学校评估，发生专家住宿费等公务接待支出。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（2）会议费支出情况：</w:t>
      </w:r>
      <w:r>
        <w:rPr>
          <w:rFonts w:hint="eastAsia" w:ascii="仿宋_GB2312"/>
          <w:sz w:val="28"/>
          <w:szCs w:val="28"/>
        </w:rPr>
        <w:t>不涉及。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（3）培训费支出情况：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本年度一般公共预算拨款安排的培训费决算支出</w:t>
      </w:r>
      <w:r>
        <w:rPr>
          <w:rFonts w:hint="eastAsia" w:ascii="仿宋_GB2312"/>
          <w:sz w:val="28"/>
          <w:szCs w:val="28"/>
          <w:lang w:val="en-US" w:eastAsia="zh-CN"/>
        </w:rPr>
        <w:t>18.14</w:t>
      </w:r>
      <w:r>
        <w:rPr>
          <w:rFonts w:hint="eastAsia" w:ascii="仿宋_GB2312"/>
          <w:sz w:val="28"/>
          <w:szCs w:val="28"/>
        </w:rPr>
        <w:t>万元，比上年决算减少</w:t>
      </w:r>
      <w:r>
        <w:rPr>
          <w:rFonts w:hint="eastAsia" w:ascii="仿宋_GB2312"/>
          <w:sz w:val="28"/>
          <w:szCs w:val="28"/>
          <w:lang w:val="en-US" w:eastAsia="zh-CN"/>
        </w:rPr>
        <w:t>1.34</w:t>
      </w:r>
      <w:r>
        <w:rPr>
          <w:rFonts w:hint="eastAsia" w:ascii="仿宋_GB2312"/>
          <w:sz w:val="28"/>
          <w:szCs w:val="28"/>
        </w:rPr>
        <w:t>万元，本年度受疫情影响，教师外出培训人次较少，主要采用网络培训等方式进行交流。</w:t>
      </w:r>
    </w:p>
    <w:p>
      <w:pPr>
        <w:snapToGrid w:val="0"/>
        <w:spacing w:line="52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</w:p>
    <w:p>
      <w:pPr>
        <w:widowControl/>
        <w:spacing w:line="480" w:lineRule="exact"/>
        <w:ind w:firstLine="56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4.1</w:t>
      </w:r>
      <w:r>
        <w:rPr>
          <w:rFonts w:hint="eastAsia" w:ascii="仿宋_GB2312"/>
          <w:b/>
          <w:sz w:val="28"/>
          <w:szCs w:val="28"/>
        </w:rPr>
        <w:t>财政拨款收入支出决算总体情况说明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本年度财政拨款收、支总决算</w:t>
      </w:r>
      <w:r>
        <w:rPr>
          <w:rFonts w:hint="eastAsia" w:ascii="仿宋_GB2312"/>
          <w:sz w:val="28"/>
          <w:szCs w:val="28"/>
          <w:u w:val="single"/>
        </w:rPr>
        <w:t>1891.11、1900.70</w:t>
      </w:r>
      <w:r>
        <w:rPr>
          <w:rFonts w:hint="eastAsia" w:ascii="仿宋_GB2312"/>
          <w:sz w:val="28"/>
          <w:szCs w:val="28"/>
        </w:rPr>
        <w:t>万元。与上年相比，财政拨款收、支总计各增加</w:t>
      </w:r>
      <w:r>
        <w:rPr>
          <w:rFonts w:hint="eastAsia" w:ascii="仿宋_GB2312"/>
          <w:sz w:val="28"/>
          <w:szCs w:val="28"/>
          <w:u w:val="single"/>
        </w:rPr>
        <w:t>219.45、205.43</w:t>
      </w:r>
      <w:r>
        <w:rPr>
          <w:rFonts w:hint="eastAsia" w:ascii="仿宋_GB2312"/>
          <w:sz w:val="28"/>
          <w:szCs w:val="28"/>
        </w:rPr>
        <w:t>万元，增长</w:t>
      </w:r>
      <w:r>
        <w:rPr>
          <w:rFonts w:hint="eastAsia" w:ascii="仿宋_GB2312"/>
          <w:sz w:val="28"/>
          <w:szCs w:val="28"/>
          <w:u w:val="single"/>
        </w:rPr>
        <w:t>13.13%、12.11%</w:t>
      </w:r>
      <w:r>
        <w:rPr>
          <w:rFonts w:hint="eastAsia" w:ascii="仿宋_GB2312"/>
          <w:sz w:val="28"/>
          <w:szCs w:val="28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9CF72"/>
    <w:multiLevelType w:val="singleLevel"/>
    <w:tmpl w:val="8A09CF7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4722858"/>
    <w:multiLevelType w:val="singleLevel"/>
    <w:tmpl w:val="347228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491566"/>
    <w:multiLevelType w:val="multilevel"/>
    <w:tmpl w:val="4E491566"/>
    <w:lvl w:ilvl="0" w:tentative="0">
      <w:start w:val="1"/>
      <w:numFmt w:val="decimal"/>
      <w:lvlText w:val="%1)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U0ZWJmYmI1N2IxMjk1OGI4OTc2Nzc2NDBkMzAifQ=="/>
  </w:docVars>
  <w:rsids>
    <w:rsidRoot w:val="0C376B90"/>
    <w:rsid w:val="0C3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solidFill>
                  <a:schemeClr val="tx1"/>
                </a:solidFill>
              </a:rPr>
              <a:t>2022</a:t>
            </a:r>
            <a:r>
              <a:rPr altLang="en-US" b="1">
                <a:solidFill>
                  <a:schemeClr val="tx1"/>
                </a:solidFill>
              </a:rPr>
              <a:t>年收入</a:t>
            </a:r>
            <a:endParaRPr altLang="en-US"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9050">
              <a:noFill/>
            </a:ln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财政拨款收入</c:v>
                </c:pt>
                <c:pt idx="1">
                  <c:v>事业收入</c:v>
                </c:pt>
                <c:pt idx="2">
                  <c:v>其他收入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2010.07</c:v>
                </c:pt>
                <c:pt idx="1">
                  <c:v>5</c:v>
                </c:pt>
                <c:pt idx="2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chemeClr val="tx1"/>
                </a:solidFill>
              </a:rPr>
              <a:t>2022年支出</a:t>
            </a:r>
            <a:endParaRPr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2022年支出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1702.09</c:v>
                </c:pt>
                <c:pt idx="1">
                  <c:v>15.27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2023-02-07T04:53:00Z</dcterms:created>
  <dc:creator>朱一周</dc:creator>
  <cp:lastModifiedBy>朱一周</cp:lastModifiedBy>
  <dcterms:modified xsi:type="dcterms:W3CDTF">2023-02-07T06:07:53Z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581BD15454EB4A418EC57716006C7736</vt:lpwstr>
  </property>
</Properties>
</file>