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Times New Roman" w:eastAsia="黑体" w:cs="黑体"/>
          <w:color w:val="000000"/>
        </w:rPr>
      </w:pPr>
    </w:p>
    <w:p>
      <w:pPr>
        <w:jc w:val="center"/>
        <w:rPr>
          <w:rFonts w:ascii="黑体" w:hAnsi="Times New Roman" w:eastAsia="黑体" w:cs="黑体"/>
          <w:color w:val="000000"/>
        </w:rPr>
      </w:pPr>
    </w:p>
    <w:p>
      <w:pPr>
        <w:jc w:val="center"/>
        <w:rPr>
          <w:rFonts w:hint="eastAsia" w:ascii="华文中宋" w:hAnsi="华文中宋" w:eastAsia="华文中宋" w:cs="黑体"/>
          <w:color w:val="000000"/>
          <w:sz w:val="36"/>
          <w:szCs w:val="32"/>
          <w:lang w:eastAsia="zh-CN"/>
        </w:rPr>
      </w:pPr>
      <w:r>
        <w:rPr>
          <w:rFonts w:hint="eastAsia" w:ascii="华文中宋" w:hAnsi="华文中宋" w:eastAsia="华文中宋" w:cs="黑体"/>
          <w:color w:val="000000"/>
          <w:sz w:val="36"/>
          <w:szCs w:val="32"/>
          <w:lang w:eastAsia="zh-CN"/>
        </w:rPr>
        <w:t>常州市明德中学</w:t>
      </w:r>
    </w:p>
    <w:p>
      <w:pPr>
        <w:jc w:val="center"/>
        <w:rPr>
          <w:rFonts w:ascii="华文中宋" w:hAnsi="华文中宋" w:eastAsia="华文中宋" w:cs="黑体"/>
          <w:color w:val="000000"/>
          <w:sz w:val="36"/>
          <w:szCs w:val="32"/>
        </w:rPr>
      </w:pPr>
      <w:r>
        <w:rPr>
          <w:rFonts w:hint="eastAsia" w:ascii="华文中宋" w:hAnsi="华文中宋" w:eastAsia="华文中宋" w:cs="黑体"/>
          <w:color w:val="000000"/>
          <w:sz w:val="36"/>
          <w:szCs w:val="32"/>
        </w:rPr>
        <w:t>20</w:t>
      </w:r>
      <w:r>
        <w:rPr>
          <w:rFonts w:hint="eastAsia" w:ascii="华文中宋" w:hAnsi="华文中宋" w:eastAsia="华文中宋" w:cs="黑体"/>
          <w:color w:val="000000"/>
          <w:sz w:val="36"/>
          <w:szCs w:val="32"/>
          <w:lang w:val="en-US" w:eastAsia="zh-CN"/>
        </w:rPr>
        <w:t>22</w:t>
      </w:r>
      <w:r>
        <w:rPr>
          <w:rFonts w:hint="eastAsia" w:ascii="华文中宋" w:hAnsi="华文中宋" w:eastAsia="华文中宋" w:cs="黑体"/>
          <w:color w:val="000000"/>
          <w:sz w:val="36"/>
          <w:szCs w:val="32"/>
        </w:rPr>
        <w:t>年度部门决算报表说明</w:t>
      </w:r>
    </w:p>
    <w:p>
      <w:pPr>
        <w:widowControl/>
        <w:spacing w:line="211" w:lineRule="atLeast"/>
        <w:jc w:val="center"/>
        <w:rPr>
          <w:rFonts w:ascii="华文中宋" w:hAnsi="华文中宋" w:eastAsia="华文中宋" w:cs="宋体"/>
          <w:color w:val="000000"/>
          <w:kern w:val="0"/>
          <w:sz w:val="36"/>
          <w:szCs w:val="32"/>
        </w:rPr>
      </w:pPr>
    </w:p>
    <w:p>
      <w:pPr>
        <w:jc w:val="center"/>
        <w:rPr>
          <w:rFonts w:ascii="仿宋_GB2312" w:hAnsi="华文中宋" w:eastAsia="仿宋_GB2312" w:cs="黑体"/>
          <w:color w:val="000000"/>
          <w:sz w:val="32"/>
          <w:szCs w:val="32"/>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一、决算信息来源说明</w:t>
      </w:r>
    </w:p>
    <w:p>
      <w:pPr>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pPr>
        <w:ind w:firstLine="640" w:firstLineChars="200"/>
        <w:rPr>
          <w:rFonts w:ascii="仿宋_GB2312" w:hAnsi="仿宋" w:eastAsia="仿宋_GB2312" w:cs="黑体"/>
          <w:color w:val="000000"/>
          <w:sz w:val="32"/>
          <w:szCs w:val="32"/>
        </w:rPr>
      </w:pPr>
      <w:r>
        <w:rPr>
          <w:rFonts w:hint="eastAsia" w:ascii="仿宋_GB2312" w:hAnsi="仿宋" w:eastAsia="仿宋_GB2312"/>
          <w:sz w:val="32"/>
          <w:szCs w:val="32"/>
        </w:rPr>
        <w:t>（一）本套决算主表数据主要依据本单位会计账簿总账及明细账数据填列，预算数据依据本单位预、决算批复文件及预算调整文件填列。</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（二）本套决算附表数据主要依据本单位会计账簿、资产、人事台账及相关资料填列。</w:t>
      </w:r>
    </w:p>
    <w:p>
      <w:pPr>
        <w:ind w:firstLine="640" w:firstLineChars="200"/>
        <w:rPr>
          <w:rFonts w:ascii="黑体" w:hAnsi="黑体" w:eastAsia="黑体" w:cs="黑体"/>
          <w:sz w:val="32"/>
          <w:szCs w:val="32"/>
        </w:rPr>
      </w:pPr>
      <w:r>
        <w:rPr>
          <w:rFonts w:hint="eastAsia" w:ascii="黑体" w:hAnsi="黑体" w:eastAsia="黑体" w:cs="黑体"/>
          <w:sz w:val="32"/>
          <w:szCs w:val="32"/>
        </w:rPr>
        <w:t>二、决算编制基本情况</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本单位为</w:t>
      </w:r>
      <w:r>
        <w:rPr>
          <w:rFonts w:hint="eastAsia" w:ascii="仿宋_GB2312" w:hAnsi="仿宋" w:eastAsia="仿宋_GB2312" w:cs="仿宋"/>
          <w:bCs/>
          <w:sz w:val="32"/>
          <w:szCs w:val="32"/>
          <w:lang w:eastAsia="zh-CN"/>
        </w:rPr>
        <w:t>常州市教育局</w:t>
      </w:r>
      <w:r>
        <w:rPr>
          <w:rFonts w:hint="eastAsia" w:ascii="仿宋_GB2312" w:hAnsi="仿宋" w:eastAsia="仿宋_GB2312" w:cs="仿宋"/>
          <w:bCs/>
          <w:sz w:val="32"/>
          <w:szCs w:val="32"/>
        </w:rPr>
        <w:t>所属</w:t>
      </w:r>
      <w:r>
        <w:rPr>
          <w:rFonts w:hint="eastAsia" w:ascii="仿宋_GB2312" w:eastAsia="仿宋_GB2312" w:cs="Times New Roman"/>
          <w:color w:val="000000"/>
          <w:sz w:val="32"/>
          <w:szCs w:val="32"/>
          <w:u w:val="single"/>
          <w:lang w:eastAsia="zh-CN"/>
        </w:rPr>
        <w:t>二</w:t>
      </w:r>
      <w:r>
        <w:rPr>
          <w:rFonts w:hint="eastAsia" w:ascii="仿宋_GB2312" w:hAnsi="仿宋" w:eastAsia="仿宋_GB2312" w:cs="仿宋"/>
          <w:bCs/>
          <w:sz w:val="32"/>
          <w:szCs w:val="32"/>
        </w:rPr>
        <w:t>级</w:t>
      </w:r>
      <w:r>
        <w:rPr>
          <w:rFonts w:hint="eastAsia" w:ascii="仿宋_GB2312" w:hAnsi="仿宋" w:eastAsia="仿宋_GB2312" w:cs="仿宋"/>
          <w:bCs/>
          <w:spacing w:val="14"/>
          <w:sz w:val="32"/>
          <w:szCs w:val="32"/>
        </w:rPr>
        <w:t>预算单位，单位类型</w:t>
      </w:r>
      <w:r>
        <w:rPr>
          <w:rFonts w:hint="eastAsia" w:ascii="仿宋_GB2312" w:hAnsi="仿宋" w:eastAsia="仿宋_GB2312" w:cs="仿宋"/>
          <w:bCs/>
          <w:sz w:val="32"/>
          <w:szCs w:val="32"/>
        </w:rPr>
        <w:t>为</w:t>
      </w:r>
      <w:r>
        <w:rPr>
          <w:rFonts w:hint="eastAsia" w:ascii="仿宋_GB2312" w:eastAsia="仿宋_GB2312" w:cs="Times New Roman"/>
          <w:color w:val="000000"/>
          <w:sz w:val="32"/>
          <w:szCs w:val="32"/>
          <w:u w:val="single"/>
          <w:lang w:eastAsia="zh-CN"/>
        </w:rPr>
        <w:t>财政补助事业</w:t>
      </w:r>
      <w:r>
        <w:rPr>
          <w:rFonts w:hint="eastAsia" w:ascii="仿宋_GB2312" w:hAnsi="仿宋" w:eastAsia="仿宋_GB2312" w:cs="仿宋"/>
          <w:bCs/>
          <w:sz w:val="32"/>
          <w:szCs w:val="32"/>
        </w:rPr>
        <w:t>单位，决算编报类型为</w:t>
      </w:r>
      <w:r>
        <w:rPr>
          <w:rFonts w:hint="eastAsia" w:ascii="仿宋_GB2312" w:eastAsia="仿宋_GB2312" w:cs="Times New Roman"/>
          <w:color w:val="000000"/>
          <w:sz w:val="32"/>
          <w:szCs w:val="32"/>
          <w:u w:val="single"/>
          <w:lang w:eastAsia="zh-CN"/>
        </w:rPr>
        <w:t>单户表</w:t>
      </w:r>
      <w:r>
        <w:rPr>
          <w:rFonts w:hint="eastAsia" w:ascii="仿宋_GB2312" w:hAnsi="仿宋" w:eastAsia="仿宋_GB2312" w:cs="仿宋"/>
          <w:bCs/>
          <w:sz w:val="32"/>
          <w:szCs w:val="32"/>
        </w:rPr>
        <w:t>，按照</w:t>
      </w:r>
      <w:r>
        <w:rPr>
          <w:rFonts w:hint="eastAsia" w:ascii="仿宋_GB2312" w:eastAsia="仿宋_GB2312" w:cs="Times New Roman"/>
          <w:color w:val="000000"/>
          <w:sz w:val="32"/>
          <w:szCs w:val="32"/>
          <w:u w:val="single"/>
          <w:lang w:eastAsia="zh-CN"/>
        </w:rPr>
        <w:t>政府会计准则</w:t>
      </w:r>
      <w:r>
        <w:rPr>
          <w:rFonts w:hint="eastAsia" w:ascii="仿宋_GB2312" w:hAnsi="仿宋" w:eastAsia="仿宋_GB2312" w:cs="仿宋"/>
          <w:bCs/>
          <w:sz w:val="32"/>
          <w:szCs w:val="32"/>
        </w:rPr>
        <w:t>会计制度填报决算数据。</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纳入本套决算编制范围的独立核算单位共</w:t>
      </w:r>
      <w:r>
        <w:rPr>
          <w:rFonts w:hint="eastAsia" w:ascii="仿宋_GB2312" w:hAnsi="仿宋" w:eastAsia="仿宋_GB2312" w:cs="仿宋"/>
          <w:bCs/>
          <w:sz w:val="32"/>
          <w:szCs w:val="32"/>
          <w:u w:val="single"/>
          <w:lang w:val="en-US" w:eastAsia="zh-CN"/>
        </w:rPr>
        <w:t>1</w:t>
      </w:r>
      <w:r>
        <w:rPr>
          <w:rFonts w:hint="eastAsia" w:ascii="仿宋_GB2312" w:hAnsi="仿宋" w:eastAsia="仿宋_GB2312" w:cs="仿宋"/>
          <w:bCs/>
          <w:sz w:val="32"/>
          <w:szCs w:val="32"/>
        </w:rPr>
        <w:t>个，比上年增减</w:t>
      </w:r>
      <w:r>
        <w:rPr>
          <w:rFonts w:hint="eastAsia" w:ascii="仿宋_GB2312" w:eastAsia="仿宋_GB2312" w:cs="Times New Roman"/>
          <w:color w:val="000000"/>
          <w:sz w:val="32"/>
          <w:szCs w:val="32"/>
          <w:u w:val="single"/>
          <w:lang w:val="en-US" w:eastAsia="zh-CN"/>
        </w:rPr>
        <w:t>0</w:t>
      </w:r>
      <w:r>
        <w:rPr>
          <w:rFonts w:hint="eastAsia" w:ascii="仿宋_GB2312" w:hAnsi="仿宋" w:eastAsia="仿宋_GB2312" w:cs="仿宋"/>
          <w:bCs/>
          <w:sz w:val="32"/>
          <w:szCs w:val="32"/>
        </w:rPr>
        <w:t>个。</w:t>
      </w:r>
    </w:p>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（1）单位本年度实际收到的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eastAsia="仿宋_GB2312" w:cs="Times New Roman"/>
          <w:color w:val="000000"/>
          <w:sz w:val="32"/>
          <w:szCs w:val="32"/>
          <w:u w:val="single"/>
          <w:lang w:val="en-US" w:eastAsia="zh-CN"/>
        </w:rPr>
        <w:t>2010</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u w:val="single"/>
          <w:lang w:val="en-US" w:eastAsia="zh-CN"/>
        </w:rPr>
        <w:t>2010</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lang w:val="en-US" w:eastAsia="zh-CN"/>
        </w:rPr>
        <w:t>0</w:t>
      </w:r>
      <w:r>
        <w:rPr>
          <w:rFonts w:hint="eastAsia" w:ascii="仿宋_GB2312" w:hAnsi="仿宋" w:eastAsia="仿宋_GB2312" w:cs="仿宋"/>
          <w:color w:val="000000"/>
          <w:sz w:val="32"/>
          <w:szCs w:val="32"/>
        </w:rPr>
        <w:t>万元。</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（2）单位本年度政府性基金预算财政拨款收入</w:t>
      </w:r>
      <w:r>
        <w:rPr>
          <w:rFonts w:hint="eastAsia" w:ascii="仿宋_GB2312" w:eastAsia="仿宋_GB2312" w:cs="Times New Roman"/>
          <w:color w:val="000000"/>
          <w:sz w:val="32"/>
          <w:szCs w:val="32"/>
          <w:u w:val="single"/>
          <w:lang w:val="en-US" w:eastAsia="zh-CN"/>
        </w:rPr>
        <w:t>0</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u w:val="single"/>
          <w:lang w:val="en-US" w:eastAsia="zh-CN"/>
        </w:rPr>
        <w:t>0</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lang w:val="en-US" w:eastAsia="zh-CN"/>
        </w:rPr>
        <w:t>0</w:t>
      </w:r>
      <w:r>
        <w:rPr>
          <w:rFonts w:hint="eastAsia" w:ascii="仿宋_GB2312" w:hAnsi="仿宋" w:eastAsia="仿宋_GB2312" w:cs="仿宋"/>
          <w:color w:val="000000"/>
          <w:sz w:val="32"/>
          <w:szCs w:val="32"/>
        </w:rPr>
        <w:t>万元。</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（3）单位本年度国有资本经营预算财政拨款收入</w:t>
      </w:r>
      <w:r>
        <w:rPr>
          <w:rFonts w:hint="eastAsia" w:ascii="仿宋_GB2312" w:eastAsia="仿宋_GB2312" w:cs="Times New Roman"/>
          <w:color w:val="000000"/>
          <w:sz w:val="32"/>
          <w:szCs w:val="32"/>
          <w:u w:val="single"/>
          <w:lang w:val="en-US" w:eastAsia="zh-CN"/>
        </w:rPr>
        <w:t>0</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u w:val="single"/>
          <w:lang w:val="en-US" w:eastAsia="zh-CN"/>
        </w:rPr>
        <w:t>0</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lang w:val="en-US" w:eastAsia="zh-CN"/>
        </w:rPr>
        <w:t>0</w:t>
      </w:r>
      <w:r>
        <w:rPr>
          <w:rFonts w:hint="eastAsia" w:ascii="仿宋_GB2312" w:hAnsi="仿宋" w:eastAsia="仿宋_GB2312" w:cs="仿宋"/>
          <w:color w:val="000000"/>
          <w:sz w:val="32"/>
          <w:szCs w:val="32"/>
        </w:rPr>
        <w:t>万元。</w:t>
      </w:r>
    </w:p>
    <w:p>
      <w:pPr>
        <w:ind w:firstLine="709"/>
        <w:rPr>
          <w:rFonts w:hint="eastAsia" w:ascii="仿宋_GB2312" w:hAnsi="仿宋" w:eastAsia="仿宋_GB2312" w:cs="仿宋"/>
          <w:b/>
          <w:color w:val="000000"/>
          <w:sz w:val="32"/>
          <w:szCs w:val="32"/>
        </w:rPr>
      </w:pPr>
      <w:r>
        <w:rPr>
          <w:rFonts w:hint="eastAsia" w:ascii="仿宋_GB2312" w:hAnsi="仿宋" w:eastAsia="仿宋_GB2312" w:cs="仿宋"/>
          <w:b/>
          <w:color w:val="000000"/>
          <w:sz w:val="32"/>
          <w:szCs w:val="32"/>
        </w:rPr>
        <w:t>2．其他需要说明的情况。</w:t>
      </w:r>
    </w:p>
    <w:p>
      <w:pPr>
        <w:ind w:firstLine="709"/>
        <w:rPr>
          <w:rFonts w:hint="eastAsia" w:ascii="仿宋_GB2312" w:hAnsi="仿宋" w:eastAsia="仿宋_GB2312" w:cs="仿宋"/>
          <w:b/>
          <w:color w:val="000000"/>
          <w:sz w:val="32"/>
          <w:szCs w:val="32"/>
          <w:lang w:eastAsia="zh-CN"/>
        </w:rPr>
      </w:pPr>
      <w:r>
        <w:rPr>
          <w:rFonts w:hint="eastAsia" w:ascii="仿宋_GB2312" w:hAnsi="仿宋" w:eastAsia="仿宋_GB2312" w:cs="仿宋"/>
          <w:b/>
          <w:color w:val="000000"/>
          <w:sz w:val="32"/>
          <w:szCs w:val="32"/>
          <w:lang w:eastAsia="zh-CN"/>
        </w:rPr>
        <w:t>无。</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ind w:firstLine="640" w:firstLineChars="200"/>
        <w:rPr>
          <w:rFonts w:eastAsia="仿宋_GB2312"/>
          <w:color w:val="C00000"/>
        </w:rPr>
      </w:pPr>
      <w:r>
        <w:rPr>
          <w:rFonts w:hint="eastAsia" w:ascii="仿宋_GB2312" w:hAnsi="仿宋" w:eastAsia="仿宋_GB2312" w:cs="仿宋"/>
          <w:color w:val="000000"/>
          <w:sz w:val="32"/>
          <w:szCs w:val="32"/>
        </w:rPr>
        <w:t>1．全口径、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公共预算财政拨款和政府性基金预算财政拨款的结转和结余资金本年年初数与上年年末数一致</w:t>
      </w:r>
      <w:r>
        <w:rPr>
          <w:rFonts w:hint="eastAsia" w:ascii="仿宋_GB2312" w:hAnsi="仿宋" w:eastAsia="仿宋_GB2312" w:cs="仿宋"/>
          <w:sz w:val="32"/>
          <w:szCs w:val="32"/>
        </w:rPr>
        <w:t>。</w:t>
      </w:r>
    </w:p>
    <w:p>
      <w:pPr>
        <w:ind w:firstLine="709"/>
        <w:rPr>
          <w:rFonts w:ascii="黑体" w:hAnsi="黑体" w:eastAsia="黑体" w:cs="黑体"/>
          <w:color w:val="000000"/>
          <w:sz w:val="32"/>
          <w:szCs w:val="32"/>
        </w:rPr>
      </w:pPr>
      <w:r>
        <w:rPr>
          <w:rFonts w:hint="eastAsia" w:ascii="仿宋_GB2312" w:hAnsi="仿宋" w:eastAsia="仿宋_GB2312" w:cs="仿宋"/>
          <w:color w:val="000000"/>
          <w:sz w:val="32"/>
          <w:szCs w:val="32"/>
        </w:rPr>
        <w:t>2．主要指标上下年变动幅度超过20%，在附表2中已说明原因。</w:t>
      </w:r>
      <w:r>
        <w:rPr>
          <w:rFonts w:hint="eastAsia" w:ascii="仿宋_GB2312" w:eastAsia="仿宋_GB2312" w:cs="Times New Roman"/>
          <w:color w:val="000000"/>
          <w:sz w:val="32"/>
          <w:szCs w:val="32"/>
        </w:rPr>
        <w:t> </w:t>
      </w:r>
      <w:r>
        <w:rPr>
          <w:rFonts w:hint="eastAsia" w:ascii="黑体" w:hAnsi="黑体" w:eastAsia="黑体" w:cs="黑体"/>
          <w:color w:val="000000"/>
          <w:sz w:val="32"/>
          <w:szCs w:val="32"/>
        </w:rPr>
        <w:t>四、报表审核情况</w:t>
      </w:r>
    </w:p>
    <w:p>
      <w:pPr>
        <w:ind w:firstLine="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1．审核公式。</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审核公式共提示</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条。其中：</w:t>
      </w:r>
    </w:p>
    <w:p>
      <w:pPr>
        <w:ind w:firstLine="709"/>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（1）表间公式共</w:t>
      </w:r>
      <w:r>
        <w:rPr>
          <w:rFonts w:hint="eastAsia" w:ascii="仿宋_GB2312" w:hAnsi="仿宋" w:eastAsia="仿宋_GB2312" w:cs="仿宋"/>
          <w:b/>
          <w:bCs/>
          <w:color w:val="000000"/>
          <w:sz w:val="32"/>
          <w:szCs w:val="32"/>
          <w:lang w:val="en-US" w:eastAsia="zh-CN"/>
        </w:rPr>
        <w:t>0</w:t>
      </w:r>
      <w:r>
        <w:rPr>
          <w:rFonts w:hint="eastAsia" w:ascii="仿宋_GB2312" w:hAnsi="仿宋" w:eastAsia="仿宋_GB2312" w:cs="仿宋"/>
          <w:b/>
          <w:bCs/>
          <w:color w:val="000000"/>
          <w:sz w:val="32"/>
          <w:szCs w:val="32"/>
        </w:rPr>
        <w:t>条。</w:t>
      </w:r>
    </w:p>
    <w:p>
      <w:pPr>
        <w:ind w:firstLine="709"/>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（2）表内公式共</w:t>
      </w:r>
      <w:r>
        <w:rPr>
          <w:rFonts w:hint="eastAsia" w:ascii="仿宋_GB2312" w:hAnsi="仿宋" w:eastAsia="仿宋_GB2312" w:cs="仿宋"/>
          <w:b/>
          <w:bCs/>
          <w:color w:val="000000"/>
          <w:sz w:val="32"/>
          <w:szCs w:val="32"/>
          <w:lang w:val="en-US" w:eastAsia="zh-CN"/>
        </w:rPr>
        <w:t>0</w:t>
      </w:r>
      <w:r>
        <w:rPr>
          <w:rFonts w:hint="eastAsia" w:ascii="仿宋_GB2312" w:hAnsi="仿宋" w:eastAsia="仿宋_GB2312" w:cs="仿宋"/>
          <w:b/>
          <w:bCs/>
          <w:color w:val="000000"/>
          <w:sz w:val="32"/>
          <w:szCs w:val="32"/>
        </w:rPr>
        <w:t>条。</w:t>
      </w:r>
    </w:p>
    <w:p>
      <w:pPr>
        <w:ind w:firstLine="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2．审核模板。</w:t>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lang w:eastAsia="zh-CN"/>
        </w:rPr>
        <w:t>无</w:t>
      </w:r>
      <w:r>
        <w:rPr>
          <w:rFonts w:hint="eastAsia" w:ascii="仿宋_GB2312" w:hAnsi="仿宋" w:eastAsia="仿宋_GB2312" w:cs="仿宋"/>
          <w:sz w:val="32"/>
          <w:szCs w:val="32"/>
        </w:rPr>
        <w:t>。</w:t>
      </w:r>
    </w:p>
    <w:p>
      <w:pPr>
        <w:ind w:firstLine="709"/>
        <w:rPr>
          <w:rFonts w:ascii="黑体" w:hAnsi="黑体" w:eastAsia="黑体" w:cs="Times New Roman"/>
          <w:sz w:val="32"/>
          <w:szCs w:val="32"/>
        </w:rPr>
      </w:pPr>
      <w:r>
        <w:rPr>
          <w:rFonts w:hint="eastAsia" w:ascii="黑体" w:hAnsi="黑体" w:eastAsia="黑体" w:cs="黑体"/>
          <w:sz w:val="32"/>
          <w:szCs w:val="32"/>
        </w:rPr>
        <w:t>五、决算数据其他需要说明的情况</w:t>
      </w:r>
    </w:p>
    <w:p>
      <w:pPr>
        <w:ind w:firstLine="709"/>
        <w:rPr>
          <w:rFonts w:ascii="仿宋_GB2312" w:hAnsi="仿宋" w:eastAsia="仿宋_GB2312" w:cs="仿宋"/>
          <w:sz w:val="32"/>
          <w:szCs w:val="32"/>
        </w:rPr>
      </w:pPr>
      <w:r>
        <w:rPr>
          <w:rFonts w:hint="eastAsia" w:ascii="仿宋_GB2312" w:hAnsi="仿宋" w:eastAsia="仿宋_GB2312" w:cs="仿宋"/>
          <w:sz w:val="32"/>
          <w:szCs w:val="32"/>
        </w:rPr>
        <w:t>1．“收入决算表”中</w:t>
      </w:r>
      <w:r>
        <w:rPr>
          <w:rFonts w:hint="eastAsia" w:ascii="仿宋_GB2312" w:hAnsi="仿宋" w:eastAsia="仿宋_GB2312" w:cs="仿宋"/>
          <w:spacing w:val="6"/>
          <w:sz w:val="32"/>
          <w:szCs w:val="32"/>
        </w:rPr>
        <w:t>其他收入为教职工管煤补贴</w:t>
      </w:r>
      <w:r>
        <w:rPr>
          <w:rFonts w:hint="eastAsia" w:ascii="仿宋_GB2312" w:hAnsi="仿宋" w:eastAsia="仿宋_GB2312" w:cs="仿宋"/>
          <w:spacing w:val="6"/>
          <w:sz w:val="32"/>
          <w:szCs w:val="32"/>
          <w:lang w:val="en-US" w:eastAsia="zh-CN"/>
        </w:rPr>
        <w:t>6600</w:t>
      </w:r>
      <w:r>
        <w:rPr>
          <w:rFonts w:hint="eastAsia" w:ascii="仿宋_GB2312" w:hAnsi="仿宋" w:eastAsia="仿宋_GB2312" w:cs="仿宋"/>
          <w:spacing w:val="6"/>
          <w:sz w:val="32"/>
          <w:szCs w:val="32"/>
        </w:rPr>
        <w:t>元。</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lang w:val="en-US" w:eastAsia="zh-CN"/>
        </w:rPr>
        <w:t>2</w:t>
      </w:r>
      <w:r>
        <w:rPr>
          <w:rFonts w:hint="eastAsia" w:ascii="仿宋_GB2312" w:hAnsi="仿宋" w:eastAsia="仿宋_GB2312" w:cs="仿宋"/>
          <w:color w:val="000000"/>
          <w:sz w:val="32"/>
          <w:szCs w:val="32"/>
        </w:rPr>
        <w:t>．项目支出决算明细表”中列支 “对个人和家庭的补助”</w:t>
      </w:r>
      <w:r>
        <w:rPr>
          <w:rFonts w:hint="eastAsia" w:ascii="仿宋_GB2312" w:hAnsi="仿宋" w:eastAsia="仿宋_GB2312" w:cs="仿宋"/>
          <w:color w:val="000000"/>
          <w:sz w:val="32"/>
          <w:szCs w:val="32"/>
          <w:lang w:val="en-US" w:eastAsia="zh-CN"/>
        </w:rPr>
        <w:t>40600</w:t>
      </w:r>
      <w:r>
        <w:rPr>
          <w:rFonts w:hint="eastAsia" w:ascii="仿宋_GB2312" w:hAnsi="仿宋" w:eastAsia="仿宋_GB2312" w:cs="仿宋"/>
          <w:color w:val="000000"/>
          <w:sz w:val="32"/>
          <w:szCs w:val="32"/>
        </w:rPr>
        <w:t>元，其中助学金</w:t>
      </w:r>
      <w:r>
        <w:rPr>
          <w:rFonts w:hint="eastAsia" w:ascii="仿宋_GB2312" w:hAnsi="仿宋" w:eastAsia="仿宋_GB2312" w:cs="仿宋"/>
          <w:color w:val="000000"/>
          <w:sz w:val="32"/>
          <w:szCs w:val="32"/>
          <w:lang w:val="en-US" w:eastAsia="zh-CN"/>
        </w:rPr>
        <w:t>3400</w:t>
      </w:r>
      <w:r>
        <w:rPr>
          <w:rFonts w:hint="eastAsia" w:ascii="仿宋_GB2312" w:hAnsi="仿宋" w:eastAsia="仿宋_GB2312" w:cs="仿宋"/>
          <w:color w:val="000000"/>
          <w:sz w:val="32"/>
          <w:szCs w:val="32"/>
        </w:rPr>
        <w:t>0元、教职工管煤补贴</w:t>
      </w:r>
      <w:r>
        <w:rPr>
          <w:rFonts w:hint="eastAsia" w:ascii="仿宋_GB2312" w:hAnsi="仿宋" w:eastAsia="仿宋_GB2312" w:cs="仿宋"/>
          <w:color w:val="000000"/>
          <w:sz w:val="32"/>
          <w:szCs w:val="32"/>
          <w:lang w:val="en-US" w:eastAsia="zh-CN"/>
        </w:rPr>
        <w:t>6600</w:t>
      </w:r>
      <w:r>
        <w:rPr>
          <w:rFonts w:hint="eastAsia" w:ascii="仿宋_GB2312" w:hAnsi="仿宋" w:eastAsia="仿宋_GB2312" w:cs="仿宋"/>
          <w:color w:val="000000"/>
          <w:sz w:val="32"/>
          <w:szCs w:val="32"/>
        </w:rPr>
        <w:t>元。</w:t>
      </w:r>
    </w:p>
    <w:p>
      <w:pPr>
        <w:ind w:firstLine="709"/>
        <w:rPr>
          <w:rFonts w:ascii="仿宋_GB2312" w:hAnsi="仿宋" w:eastAsia="仿宋_GB2312" w:cs="Times New Roman"/>
          <w:color w:val="FF0000"/>
          <w:sz w:val="32"/>
          <w:szCs w:val="32"/>
        </w:rPr>
      </w:pP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.“三公”经费总额及分项金额与年初预算数、上年决算数对比变动的原因说明，以及相关的公务用车购置及保有量、因公出国（境）团组数及人数和公务接待批次及人数等情况，见附表2</w:t>
      </w:r>
      <w:r>
        <w:rPr>
          <w:rFonts w:ascii="仿宋_GB2312" w:hAnsi="仿宋" w:eastAsia="仿宋_GB2312" w:cs="仿宋"/>
          <w:color w:val="000000"/>
          <w:sz w:val="32"/>
          <w:szCs w:val="32"/>
        </w:rPr>
        <w:t>。</w:t>
      </w:r>
    </w:p>
    <w:p>
      <w:pPr>
        <w:ind w:firstLine="709"/>
        <w:rPr>
          <w:rFonts w:ascii="仿宋_GB2312" w:hAnsi="仿宋" w:eastAsia="仿宋_GB2312" w:cs="仿宋"/>
          <w:bCs/>
          <w:sz w:val="32"/>
          <w:szCs w:val="32"/>
        </w:rPr>
      </w:pP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.本年度共涉及政府采购项目3项</w:t>
      </w:r>
      <w:r>
        <w:rPr>
          <w:rFonts w:hint="eastAsia" w:ascii="仿宋_GB2312" w:hAnsi="仿宋" w:eastAsia="仿宋_GB2312" w:cs="仿宋"/>
          <w:bCs/>
          <w:sz w:val="32"/>
          <w:szCs w:val="32"/>
          <w:lang w:eastAsia="zh-CN"/>
        </w:rPr>
        <w:t>，均为货物类采购</w:t>
      </w:r>
      <w:r>
        <w:rPr>
          <w:rFonts w:hint="eastAsia" w:ascii="仿宋_GB2312" w:hAnsi="仿宋" w:eastAsia="仿宋_GB2312" w:cs="仿宋"/>
          <w:bCs/>
          <w:sz w:val="32"/>
          <w:szCs w:val="32"/>
        </w:rPr>
        <w:t>，</w:t>
      </w:r>
      <w:r>
        <w:rPr>
          <w:rFonts w:hint="eastAsia" w:ascii="仿宋_GB2312" w:hAnsi="仿宋" w:eastAsia="仿宋_GB2312" w:cs="仿宋"/>
          <w:bCs/>
          <w:sz w:val="32"/>
          <w:szCs w:val="32"/>
          <w:lang w:eastAsia="zh-CN"/>
        </w:rPr>
        <w:t>分别</w:t>
      </w:r>
      <w:r>
        <w:rPr>
          <w:rFonts w:hint="eastAsia" w:ascii="仿宋_GB2312" w:hAnsi="仿宋" w:eastAsia="仿宋_GB2312" w:cs="仿宋"/>
          <w:bCs/>
          <w:sz w:val="32"/>
          <w:szCs w:val="32"/>
        </w:rPr>
        <w:t>为</w:t>
      </w:r>
      <w:r>
        <w:rPr>
          <w:rFonts w:hint="eastAsia" w:ascii="仿宋_GB2312" w:hAnsi="仿宋" w:eastAsia="仿宋_GB2312" w:cs="仿宋"/>
          <w:bCs/>
          <w:sz w:val="32"/>
          <w:szCs w:val="32"/>
          <w:lang w:eastAsia="zh-CN"/>
        </w:rPr>
        <w:t>中考考点空调、科创教室建设</w:t>
      </w:r>
      <w:r>
        <w:rPr>
          <w:rFonts w:hint="eastAsia" w:ascii="仿宋_GB2312" w:hAnsi="仿宋" w:eastAsia="仿宋_GB2312" w:cs="仿宋"/>
          <w:bCs/>
          <w:sz w:val="32"/>
          <w:szCs w:val="32"/>
          <w:lang w:val="en-US" w:eastAsia="zh-CN"/>
        </w:rPr>
        <w:t>-台式计算机、科创教室建设-智慧黑板，</w:t>
      </w:r>
      <w:r>
        <w:rPr>
          <w:rFonts w:hint="eastAsia" w:ascii="仿宋_GB2312" w:hAnsi="仿宋" w:eastAsia="仿宋_GB2312" w:cs="仿宋"/>
          <w:bCs/>
          <w:sz w:val="32"/>
          <w:szCs w:val="32"/>
        </w:rPr>
        <w:t>采购计划总额</w:t>
      </w:r>
      <w:r>
        <w:rPr>
          <w:rFonts w:hint="eastAsia" w:ascii="仿宋_GB2312" w:hAnsi="仿宋" w:eastAsia="仿宋_GB2312" w:cs="仿宋"/>
          <w:bCs/>
          <w:sz w:val="32"/>
          <w:szCs w:val="32"/>
          <w:lang w:val="en-US" w:eastAsia="zh-CN"/>
        </w:rPr>
        <w:t>16.71</w:t>
      </w:r>
      <w:r>
        <w:rPr>
          <w:rFonts w:hint="eastAsia" w:ascii="仿宋_GB2312" w:hAnsi="仿宋" w:eastAsia="仿宋_GB2312" w:cs="仿宋"/>
          <w:bCs/>
          <w:sz w:val="32"/>
          <w:szCs w:val="32"/>
        </w:rPr>
        <w:t>万元，实际采购额</w:t>
      </w:r>
      <w:r>
        <w:rPr>
          <w:rFonts w:hint="eastAsia" w:ascii="仿宋_GB2312" w:hAnsi="仿宋" w:eastAsia="仿宋_GB2312" w:cs="仿宋"/>
          <w:bCs/>
          <w:sz w:val="32"/>
          <w:szCs w:val="32"/>
          <w:lang w:val="en-US" w:eastAsia="zh-CN"/>
        </w:rPr>
        <w:t>16.71</w:t>
      </w:r>
      <w:r>
        <w:rPr>
          <w:rFonts w:hint="eastAsia" w:ascii="仿宋_GB2312" w:hAnsi="仿宋" w:eastAsia="仿宋_GB2312" w:cs="仿宋"/>
          <w:bCs/>
          <w:sz w:val="32"/>
          <w:szCs w:val="32"/>
        </w:rPr>
        <w:t>万元</w:t>
      </w:r>
      <w:r>
        <w:rPr>
          <w:rFonts w:hint="eastAsia" w:ascii="仿宋_GB2312" w:hAnsi="仿宋" w:eastAsia="仿宋_GB2312" w:cs="仿宋"/>
          <w:bCs/>
          <w:sz w:val="32"/>
          <w:szCs w:val="32"/>
          <w:lang w:eastAsia="zh-CN"/>
        </w:rPr>
        <w:t>，中标商均为小型企业</w:t>
      </w:r>
      <w:r>
        <w:rPr>
          <w:rFonts w:hint="eastAsia" w:ascii="仿宋_GB2312" w:hAnsi="仿宋" w:eastAsia="仿宋_GB2312" w:cs="仿宋"/>
          <w:bCs/>
          <w:sz w:val="32"/>
          <w:szCs w:val="32"/>
        </w:rPr>
        <w:t>。</w:t>
      </w:r>
    </w:p>
    <w:p>
      <w:pPr>
        <w:ind w:firstLine="709"/>
        <w:rPr>
          <w:rFonts w:hint="eastAsia" w:ascii="仿宋_GB2312" w:hAnsi="仿宋" w:eastAsia="仿宋_GB2312" w:cs="仿宋"/>
          <w:color w:val="000000"/>
          <w:sz w:val="32"/>
          <w:szCs w:val="32"/>
        </w:rPr>
      </w:pP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.“收入支出决算总表”中如全年</w:t>
      </w:r>
      <w:r>
        <w:rPr>
          <w:rFonts w:hint="eastAsia" w:ascii="仿宋_GB2312" w:hAnsi="仿宋" w:eastAsia="仿宋_GB2312" w:cs="仿宋"/>
          <w:bCs/>
          <w:color w:val="000000"/>
          <w:sz w:val="32"/>
          <w:szCs w:val="32"/>
        </w:rPr>
        <w:t>预算数大于年初预算数，</w:t>
      </w:r>
      <w:r>
        <w:rPr>
          <w:rFonts w:hint="eastAsia" w:ascii="仿宋_GB2312" w:hAnsi="仿宋" w:eastAsia="仿宋_GB2312" w:cs="仿宋"/>
          <w:color w:val="000000"/>
          <w:sz w:val="32"/>
          <w:szCs w:val="32"/>
        </w:rPr>
        <w:t>说明单位财政拨款预算和非财政拨款预算调整情况以及经审批或备案的文件依据</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2022年年初预算数1686.05万元，全年预算数2010.07万元，增加预算均为一般公共预算财政拨款收入</w:t>
      </w:r>
      <w:r>
        <w:rPr>
          <w:rFonts w:hint="eastAsia" w:ascii="仿宋_GB2312" w:hAnsi="仿宋" w:eastAsia="仿宋_GB2312" w:cs="仿宋"/>
          <w:color w:val="000000"/>
          <w:sz w:val="32"/>
          <w:szCs w:val="32"/>
        </w:rPr>
        <w:t>。</w:t>
      </w:r>
    </w:p>
    <w:p>
      <w:pPr>
        <w:ind w:firstLine="709"/>
        <w:rPr>
          <w:rFonts w:ascii="仿宋_GB2312" w:hAnsi="仿宋" w:eastAsia="仿宋_GB2312" w:cs="仿宋"/>
          <w:bCs/>
          <w:sz w:val="32"/>
          <w:szCs w:val="32"/>
        </w:rPr>
      </w:pPr>
      <w:r>
        <w:rPr>
          <w:rFonts w:hint="default" w:ascii="仿宋_GB2312" w:hAnsi="仿宋" w:eastAsia="仿宋_GB2312" w:cs="仿宋"/>
          <w:bCs/>
          <w:sz w:val="32"/>
          <w:szCs w:val="32"/>
          <w:lang w:val="en"/>
        </w:rPr>
        <w:t>8</w:t>
      </w:r>
      <w:r>
        <w:rPr>
          <w:rFonts w:hint="eastAsia" w:ascii="仿宋_GB2312" w:hAnsi="仿宋" w:eastAsia="仿宋_GB2312" w:cs="仿宋"/>
          <w:bCs/>
          <w:sz w:val="32"/>
          <w:szCs w:val="32"/>
        </w:rPr>
        <w:t>.中央单位财政拨款结转和结余情况（附表4）。</w:t>
      </w:r>
    </w:p>
    <w:p>
      <w:pPr>
        <w:ind w:firstLine="709"/>
        <w:rPr>
          <w:rFonts w:ascii="仿宋_GB2312" w:hAnsi="仿宋" w:eastAsia="仿宋_GB2312" w:cs="仿宋"/>
          <w:strike w:val="0"/>
          <w:dstrike/>
          <w:sz w:val="32"/>
          <w:szCs w:val="32"/>
        </w:rPr>
      </w:pPr>
      <w:r>
        <w:rPr>
          <w:rFonts w:hint="default" w:ascii="仿宋_GB2312" w:hAnsi="仿宋" w:eastAsia="仿宋_GB2312" w:cs="仿宋"/>
          <w:bCs/>
          <w:sz w:val="32"/>
          <w:szCs w:val="32"/>
          <w:lang w:val="en"/>
        </w:rPr>
        <w:t>9</w:t>
      </w:r>
      <w:r>
        <w:rPr>
          <w:rFonts w:hint="eastAsia" w:ascii="仿宋_GB2312" w:hAnsi="仿宋" w:eastAsia="仿宋_GB2312" w:cs="仿宋"/>
          <w:bCs/>
          <w:sz w:val="32"/>
          <w:szCs w:val="32"/>
        </w:rPr>
        <w:t>.</w:t>
      </w:r>
      <w:r>
        <w:rPr>
          <w:rFonts w:ascii="仿宋_GB2312" w:hAnsi="仿宋" w:eastAsia="仿宋_GB2312" w:cs="仿宋"/>
          <w:sz w:val="32"/>
          <w:szCs w:val="32"/>
        </w:rPr>
        <w:t>其他需要说明的问题。</w:t>
      </w:r>
      <w:r>
        <w:rPr>
          <w:rFonts w:hint="eastAsia" w:ascii="仿宋_GB2312" w:hAnsi="仿宋" w:eastAsia="仿宋_GB2312" w:cs="仿宋"/>
          <w:sz w:val="32"/>
          <w:szCs w:val="32"/>
          <w:lang w:eastAsia="zh-CN"/>
        </w:rPr>
        <w:t>如</w:t>
      </w:r>
      <w:r>
        <w:rPr>
          <w:rFonts w:hint="eastAsia" w:ascii="仿宋_GB2312" w:hAnsi="仿宋" w:eastAsia="仿宋_GB2312" w:cs="仿宋"/>
          <w:bCs/>
          <w:sz w:val="32"/>
          <w:szCs w:val="32"/>
        </w:rPr>
        <w:t>中央单位驻外机构有关情况（附表5、6）。</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4</w:t>
    </w:r>
    <w:r>
      <w:rPr>
        <w:rFonts w:ascii="Arial" w:hAnsi="Arial" w:cs="Arial"/>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NDU0ZWJmYmI1N2IxMjk1OGI4OTc2Nzc2NDBkMzAifQ=="/>
  </w:docVars>
  <w:rsids>
    <w:rsidRoot w:val="638D010F"/>
    <w:rsid w:val="628D57F7"/>
    <w:rsid w:val="638D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1090</Words>
  <Characters>1144</Characters>
  <Lines>0</Lines>
  <Paragraphs>0</Paragraphs>
  <TotalTime>87</TotalTime>
  <ScaleCrop>false</ScaleCrop>
  <LinksUpToDate>false</LinksUpToDate>
  <CharactersWithSpaces>1170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2023-02-07T02:22:00Z</dcterms:created>
  <dc:creator>朱一周</dc:creator>
  <cp:lastModifiedBy>朱一周</cp:lastModifiedBy>
  <dcterms:modified xsi:type="dcterms:W3CDTF">2023-02-07T06:09:41Z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81E1868B1C30493BB1601C3679051040</vt:lpwstr>
  </property>
</Properties>
</file>